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after="0" w:afterAutospacing="0" w:line="560" w:lineRule="exact"/>
        <w:ind w:left="0" w:leftChars="0" w:firstLine="0" w:firstLineChars="0"/>
        <w:jc w:val="center"/>
        <w:textAlignment w:val="auto"/>
        <w:rPr>
          <w:rFonts w:hint="eastAsia" w:ascii="方正小标宋_GBK" w:hAnsi="华文中宋" w:eastAsia="方正小标宋_GBK" w:cs="宋体"/>
          <w:kern w:val="0"/>
          <w:sz w:val="44"/>
          <w:szCs w:val="44"/>
          <w:lang w:val="en-US" w:eastAsia="zh-CN"/>
        </w:rPr>
      </w:pPr>
    </w:p>
    <w:p>
      <w:pPr>
        <w:pageBreakBefore w:val="0"/>
        <w:widowControl w:val="0"/>
        <w:kinsoku/>
        <w:wordWrap/>
        <w:topLinePunct w:val="0"/>
        <w:autoSpaceDE/>
        <w:autoSpaceDN/>
        <w:bidi w:val="0"/>
        <w:spacing w:after="0" w:afterAutospacing="0" w:line="560" w:lineRule="exact"/>
        <w:ind w:left="0" w:leftChars="0" w:firstLine="0" w:firstLineChars="0"/>
        <w:jc w:val="center"/>
        <w:textAlignment w:val="auto"/>
        <w:rPr>
          <w:rFonts w:hint="eastAsia" w:ascii="方正小标宋_GBK" w:hAnsi="华文中宋" w:eastAsia="方正小标宋_GBK" w:cs="宋体"/>
          <w:kern w:val="0"/>
          <w:sz w:val="44"/>
          <w:szCs w:val="44"/>
          <w:lang w:val="en-US" w:eastAsia="zh-CN"/>
        </w:rPr>
      </w:pPr>
    </w:p>
    <w:p>
      <w:pPr>
        <w:pageBreakBefore w:val="0"/>
        <w:widowControl w:val="0"/>
        <w:kinsoku/>
        <w:wordWrap/>
        <w:topLinePunct w:val="0"/>
        <w:autoSpaceDE/>
        <w:autoSpaceDN/>
        <w:bidi w:val="0"/>
        <w:spacing w:after="0" w:afterAutospacing="0" w:line="560" w:lineRule="exact"/>
        <w:ind w:left="0" w:leftChars="0" w:firstLine="0" w:firstLineChars="0"/>
        <w:jc w:val="center"/>
        <w:textAlignment w:val="auto"/>
        <w:rPr>
          <w:rFonts w:hint="eastAsia" w:ascii="方正小标宋_GBK" w:hAnsi="华文中宋" w:eastAsia="方正小标宋_GBK" w:cs="宋体"/>
          <w:kern w:val="0"/>
          <w:sz w:val="44"/>
          <w:szCs w:val="44"/>
          <w:lang w:val="en-US" w:eastAsia="zh-CN"/>
        </w:rPr>
      </w:pPr>
    </w:p>
    <w:p>
      <w:pPr>
        <w:pageBreakBefore w:val="0"/>
        <w:widowControl w:val="0"/>
        <w:kinsoku/>
        <w:wordWrap/>
        <w:topLinePunct w:val="0"/>
        <w:autoSpaceDE/>
        <w:autoSpaceDN/>
        <w:bidi w:val="0"/>
        <w:spacing w:after="0" w:afterAutospacing="0" w:line="560" w:lineRule="exact"/>
        <w:ind w:left="0" w:leftChars="0" w:firstLine="0" w:firstLineChars="0"/>
        <w:jc w:val="center"/>
        <w:textAlignment w:val="auto"/>
        <w:rPr>
          <w:rFonts w:hint="eastAsia" w:ascii="方正小标宋_GBK" w:hAnsi="华文中宋" w:eastAsia="方正小标宋_GBK" w:cs="宋体"/>
          <w:kern w:val="0"/>
          <w:sz w:val="44"/>
          <w:szCs w:val="44"/>
          <w:lang w:val="en-US" w:eastAsia="zh-CN"/>
        </w:rPr>
      </w:pPr>
    </w:p>
    <w:p>
      <w:pPr>
        <w:pageBreakBefore w:val="0"/>
        <w:widowControl w:val="0"/>
        <w:kinsoku/>
        <w:wordWrap/>
        <w:topLinePunct w:val="0"/>
        <w:autoSpaceDE/>
        <w:autoSpaceDN/>
        <w:bidi w:val="0"/>
        <w:spacing w:after="0" w:afterAutospacing="0" w:line="560" w:lineRule="exact"/>
        <w:ind w:left="0" w:leftChars="0" w:firstLine="0" w:firstLineChars="0"/>
        <w:jc w:val="center"/>
        <w:textAlignment w:val="auto"/>
        <w:rPr>
          <w:rFonts w:ascii="方正小标宋_GBK" w:hAnsi="华文中宋" w:eastAsia="方正小标宋_GBK" w:cs="宋体"/>
          <w:kern w:val="0"/>
          <w:sz w:val="44"/>
          <w:szCs w:val="44"/>
        </w:rPr>
      </w:pPr>
      <w:r>
        <w:rPr>
          <w:rFonts w:hint="eastAsia" w:ascii="方正小标宋_GBK" w:hAnsi="华文中宋" w:eastAsia="方正小标宋_GBK" w:cs="宋体"/>
          <w:kern w:val="0"/>
          <w:sz w:val="44"/>
          <w:szCs w:val="44"/>
          <w:lang w:val="en-US" w:eastAsia="zh-CN"/>
        </w:rPr>
        <w:t>沙湾市东湾镇中心学校2023年城乡义务教育资金项目支出绩效评价报告</w:t>
      </w:r>
    </w:p>
    <w:p>
      <w:pPr>
        <w:bidi w:val="0"/>
      </w:pPr>
    </w:p>
    <w:p>
      <w:pPr>
        <w:bidi w:val="0"/>
      </w:pPr>
    </w:p>
    <w:p>
      <w:pPr>
        <w:bidi w:val="0"/>
      </w:pPr>
    </w:p>
    <w:p>
      <w:pPr>
        <w:bidi w:val="0"/>
      </w:pPr>
    </w:p>
    <w:p>
      <w:pPr>
        <w:bidi w:val="0"/>
      </w:pPr>
    </w:p>
    <w:p>
      <w:pPr>
        <w:bidi w:val="0"/>
      </w:pPr>
    </w:p>
    <w:p>
      <w:pPr>
        <w:bidi w:val="0"/>
      </w:pPr>
    </w:p>
    <w:p>
      <w:pPr>
        <w:bidi w:val="0"/>
      </w:pP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项目名称：</w:t>
      </w:r>
      <w:r>
        <w:rPr>
          <w:rFonts w:hint="eastAsia" w:ascii="仿宋_GB2312" w:hAnsi="仿宋_GB2312" w:cs="仿宋_GB2312"/>
          <w:color w:val="000000" w:themeColor="text1"/>
          <w:sz w:val="32"/>
          <w:szCs w:val="32"/>
          <w:lang w:val="en-US" w:eastAsia="zh-CN"/>
          <w14:textFill>
            <w14:solidFill>
              <w14:schemeClr w14:val="tx1"/>
            </w14:solidFill>
          </w14:textFill>
        </w:rPr>
        <w:t>塔地财教[2023]56号-2023年城乡义务教育资金</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项目单位：</w:t>
      </w:r>
      <w:r>
        <w:rPr>
          <w:rFonts w:hint="eastAsia" w:ascii="仿宋_GB2312" w:hAnsi="仿宋_GB2312" w:cs="仿宋_GB2312"/>
          <w:color w:val="000000" w:themeColor="text1"/>
          <w:sz w:val="32"/>
          <w:szCs w:val="32"/>
          <w14:textFill>
            <w14:solidFill>
              <w14:schemeClr w14:val="tx1"/>
            </w14:solidFill>
          </w14:textFill>
        </w:rPr>
        <w:t>沙湾市</w:t>
      </w:r>
      <w:r>
        <w:rPr>
          <w:rFonts w:hint="eastAsia" w:ascii="仿宋_GB2312" w:hAnsi="仿宋_GB2312" w:cs="仿宋_GB2312"/>
          <w:color w:val="000000" w:themeColor="text1"/>
          <w:sz w:val="32"/>
          <w:szCs w:val="32"/>
          <w:lang w:eastAsia="zh-CN"/>
          <w14:textFill>
            <w14:solidFill>
              <w14:schemeClr w14:val="tx1"/>
            </w14:solidFill>
          </w14:textFill>
        </w:rPr>
        <w:t>东湾镇中心学校</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主管部门：</w:t>
      </w:r>
      <w:r>
        <w:rPr>
          <w:rFonts w:hint="eastAsia" w:ascii="仿宋_GB2312" w:hAnsi="仿宋_GB2312" w:cs="仿宋_GB2312"/>
          <w:color w:val="000000" w:themeColor="text1"/>
          <w:sz w:val="32"/>
          <w:szCs w:val="32"/>
          <w14:textFill>
            <w14:solidFill>
              <w14:schemeClr w14:val="tx1"/>
            </w14:solidFill>
          </w14:textFill>
        </w:rPr>
        <w:t>沙湾市教育和科学技术局</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项目负责人：</w:t>
      </w:r>
      <w:r>
        <w:rPr>
          <w:rFonts w:hint="eastAsia" w:ascii="仿宋_GB2312" w:hAnsi="仿宋_GB2312" w:cs="仿宋_GB2312"/>
          <w:color w:val="000000" w:themeColor="text1"/>
          <w:sz w:val="32"/>
          <w:szCs w:val="32"/>
          <w:lang w:val="en-US" w:eastAsia="zh-CN"/>
          <w14:textFill>
            <w14:solidFill>
              <w14:schemeClr w14:val="tx1"/>
            </w14:solidFill>
          </w14:textFill>
        </w:rPr>
        <w:t>蒲小健</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填报时间：</w:t>
      </w:r>
      <w:r>
        <w:rPr>
          <w:rFonts w:hint="eastAsia" w:ascii="仿宋_GB2312" w:hAnsi="仿宋_GB2312" w:cs="仿宋_GB2312"/>
          <w:color w:val="000000" w:themeColor="text1"/>
          <w:sz w:val="32"/>
          <w:szCs w:val="32"/>
          <w14:textFill>
            <w14:solidFill>
              <w14:schemeClr w14:val="tx1"/>
            </w14:solidFill>
          </w14:textFill>
        </w:rPr>
        <w:t>2024年1月</w:t>
      </w:r>
      <w:r>
        <w:rPr>
          <w:rFonts w:hint="eastAsia" w:ascii="仿宋_GB2312" w:hAnsi="仿宋_GB2312" w:cs="仿宋_GB2312"/>
          <w:color w:val="000000" w:themeColor="text1"/>
          <w:sz w:val="32"/>
          <w:szCs w:val="32"/>
          <w:lang w:eastAsia="zh-CN"/>
          <w14:textFill>
            <w14:solidFill>
              <w14:schemeClr w14:val="tx1"/>
            </w14:solidFill>
          </w14:textFill>
        </w:rPr>
        <w:t>3</w:t>
      </w:r>
      <w:r>
        <w:rPr>
          <w:rFonts w:hint="eastAsia" w:ascii="仿宋_GB2312" w:hAnsi="仿宋_GB2312" w:cs="仿宋_GB2312"/>
          <w:color w:val="000000" w:themeColor="text1"/>
          <w:sz w:val="32"/>
          <w:szCs w:val="32"/>
          <w:lang w:val="en-US" w:eastAsia="zh-CN"/>
          <w14:textFill>
            <w14:solidFill>
              <w14:schemeClr w14:val="tx1"/>
            </w14:solidFill>
          </w14:textFill>
        </w:rPr>
        <w:t>1</w:t>
      </w:r>
      <w:r>
        <w:rPr>
          <w:rFonts w:hint="eastAsia" w:ascii="仿宋_GB2312" w:hAnsi="仿宋_GB2312" w:cs="仿宋_GB2312"/>
          <w:color w:val="000000" w:themeColor="text1"/>
          <w:sz w:val="32"/>
          <w:szCs w:val="32"/>
          <w14:textFill>
            <w14:solidFill>
              <w14:schemeClr w14:val="tx1"/>
            </w14:solidFill>
          </w14:textFill>
        </w:rPr>
        <w:t>日</w:t>
      </w:r>
    </w:p>
    <w:p>
      <w:pPr>
        <w:pStyle w:val="3"/>
        <w:pageBreakBefore w:val="0"/>
        <w:widowControl w:val="0"/>
        <w:kinsoku/>
        <w:wordWrap/>
        <w:topLinePunct w:val="0"/>
        <w:autoSpaceDE/>
        <w:autoSpaceDN/>
        <w:bidi w:val="0"/>
        <w:spacing w:after="0" w:afterAutospacing="0" w:line="560" w:lineRule="exact"/>
        <w:ind w:left="0" w:leftChars="0" w:firstLine="640"/>
        <w:textAlignment w:val="auto"/>
        <w:rPr>
          <w:szCs w:val="32"/>
        </w:rPr>
      </w:pPr>
      <w:r>
        <w:rPr>
          <w:rFonts w:hint="eastAsia"/>
          <w:szCs w:val="32"/>
        </w:rPr>
        <w:t>一、基本情况</w:t>
      </w:r>
    </w:p>
    <w:p>
      <w:pPr>
        <w:pStyle w:val="4"/>
        <w:pageBreakBefore w:val="0"/>
        <w:widowControl w:val="0"/>
        <w:kinsoku/>
        <w:wordWrap/>
        <w:topLinePunct w:val="0"/>
        <w:autoSpaceDE/>
        <w:autoSpaceDN/>
        <w:bidi w:val="0"/>
        <w:spacing w:after="0" w:afterAutospacing="0" w:line="560" w:lineRule="exact"/>
        <w:ind w:left="0" w:leftChars="0" w:firstLine="643"/>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after="0" w:afterAutospacing="0" w:line="560" w:lineRule="exact"/>
        <w:ind w:left="0" w:leftChars="0" w:firstLine="643"/>
        <w:textAlignment w:val="auto"/>
        <w:rPr>
          <w:b/>
          <w:bCs/>
          <w:sz w:val="32"/>
          <w:szCs w:val="32"/>
        </w:rPr>
      </w:pPr>
      <w:r>
        <w:rPr>
          <w:rFonts w:hint="eastAsia" w:ascii="仿宋_GB2312" w:hAnsi="仿宋_GB2312" w:cs="仿宋_GB2312"/>
          <w:b/>
          <w:bCs/>
          <w:color w:val="000000" w:themeColor="text1"/>
          <w:sz w:val="32"/>
          <w:szCs w:val="32"/>
          <w14:textFill>
            <w14:solidFill>
              <w14:schemeClr w14:val="tx1"/>
            </w14:solidFill>
          </w14:textFill>
        </w:rPr>
        <w:t>1.项目背景</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ascii="仿宋_GB2312" w:hAnsi="仿宋_GB2312" w:cs="仿宋_GB2312"/>
          <w:color w:val="000000" w:themeColor="text1"/>
          <w:sz w:val="32"/>
          <w:szCs w:val="32"/>
          <w14:textFill>
            <w14:solidFill>
              <w14:schemeClr w14:val="tx1"/>
            </w14:solidFill>
          </w14:textFill>
        </w:rPr>
        <w:t>学校</w:t>
      </w:r>
      <w:r>
        <w:rPr>
          <w:rFonts w:hint="eastAsia" w:ascii="仿宋_GB2312" w:hAnsi="仿宋_GB2312" w:cs="仿宋_GB2312"/>
          <w:color w:val="000000" w:themeColor="text1"/>
          <w:sz w:val="32"/>
          <w:szCs w:val="32"/>
          <w14:textFill>
            <w14:solidFill>
              <w14:schemeClr w14:val="tx1"/>
            </w14:solidFill>
          </w14:textFill>
        </w:rPr>
        <w:t>校舍安全</w:t>
      </w:r>
      <w:r>
        <w:rPr>
          <w:rFonts w:ascii="仿宋_GB2312" w:hAnsi="仿宋_GB2312" w:cs="仿宋_GB2312"/>
          <w:color w:val="000000" w:themeColor="text1"/>
          <w:sz w:val="32"/>
          <w:szCs w:val="32"/>
          <w14:textFill>
            <w14:solidFill>
              <w14:schemeClr w14:val="tx1"/>
            </w14:solidFill>
          </w14:textFill>
        </w:rPr>
        <w:t>项目支出是学校建设中的一个重要环节，它对于学校的发展、教育质量和师生生活都具有重要的影响。首先，学校</w:t>
      </w:r>
      <w:r>
        <w:rPr>
          <w:rFonts w:hint="eastAsia" w:ascii="仿宋_GB2312" w:hAnsi="仿宋_GB2312" w:cs="仿宋_GB2312"/>
          <w:color w:val="000000" w:themeColor="text1"/>
          <w:sz w:val="32"/>
          <w:szCs w:val="32"/>
          <w14:textFill>
            <w14:solidFill>
              <w14:schemeClr w14:val="tx1"/>
            </w14:solidFill>
          </w14:textFill>
        </w:rPr>
        <w:t>校舍安全</w:t>
      </w:r>
      <w:r>
        <w:rPr>
          <w:rFonts w:ascii="仿宋_GB2312" w:hAnsi="仿宋_GB2312" w:cs="仿宋_GB2312"/>
          <w:color w:val="000000" w:themeColor="text1"/>
          <w:sz w:val="32"/>
          <w:szCs w:val="32"/>
          <w14:textFill>
            <w14:solidFill>
              <w14:schemeClr w14:val="tx1"/>
            </w14:solidFill>
          </w14:textFill>
        </w:rPr>
        <w:t>项目支出可以提高学校的硬件设施水平，建立现代化、舒适、安全的教学、生活设施，为师生提供优质的学习、生活环境。其次，学校</w:t>
      </w:r>
      <w:r>
        <w:rPr>
          <w:rFonts w:hint="eastAsia" w:ascii="仿宋_GB2312" w:hAnsi="仿宋_GB2312" w:cs="仿宋_GB2312"/>
          <w:color w:val="000000" w:themeColor="text1"/>
          <w:sz w:val="32"/>
          <w:szCs w:val="32"/>
          <w14:textFill>
            <w14:solidFill>
              <w14:schemeClr w14:val="tx1"/>
            </w14:solidFill>
          </w14:textFill>
        </w:rPr>
        <w:t>校舍安全</w:t>
      </w:r>
      <w:r>
        <w:rPr>
          <w:rFonts w:ascii="仿宋_GB2312" w:hAnsi="仿宋_GB2312" w:cs="仿宋_GB2312"/>
          <w:color w:val="000000" w:themeColor="text1"/>
          <w:sz w:val="32"/>
          <w:szCs w:val="32"/>
          <w14:textFill>
            <w14:solidFill>
              <w14:schemeClr w14:val="tx1"/>
            </w14:solidFill>
          </w14:textFill>
        </w:rPr>
        <w:t>项目支出还可以促进学校教育教学水平的提高，更好地满足教学需要，提高教学质量。随着教育事业不断发展，各个学校的规模也越来越大，由此而引发的教学楼、</w:t>
      </w:r>
      <w:r>
        <w:rPr>
          <w:rFonts w:hint="eastAsia" w:ascii="仿宋_GB2312" w:hAnsi="仿宋_GB2312" w:cs="仿宋_GB2312"/>
          <w:color w:val="000000" w:themeColor="text1"/>
          <w:sz w:val="32"/>
          <w:szCs w:val="32"/>
          <w14:textFill>
            <w14:solidFill>
              <w14:schemeClr w14:val="tx1"/>
            </w14:solidFill>
          </w14:textFill>
        </w:rPr>
        <w:t>宿舍楼</w:t>
      </w:r>
      <w:r>
        <w:rPr>
          <w:rFonts w:ascii="仿宋_GB2312" w:hAnsi="仿宋_GB2312" w:cs="仿宋_GB2312"/>
          <w:color w:val="000000" w:themeColor="text1"/>
          <w:sz w:val="32"/>
          <w:szCs w:val="32"/>
          <w14:textFill>
            <w14:solidFill>
              <w14:schemeClr w14:val="tx1"/>
            </w14:solidFill>
          </w14:textFill>
        </w:rPr>
        <w:t>等建筑物的建设、改造、维修等工程需求也越来越高，相应的支出也逐年增加。实现高效使用公共财政资金，进一步提高资金使用效益，不仅是学校管理者的职责所在，更是社会责任的表现。</w:t>
      </w:r>
      <w:r>
        <w:rPr>
          <w:rFonts w:ascii="仿宋_GB2312" w:hAnsi="仿宋_GB2312" w:cs="仿宋_GB2312"/>
          <w:color w:val="000000" w:themeColor="text1"/>
          <w:sz w:val="32"/>
          <w:szCs w:val="32"/>
          <w:highlight w:val="none"/>
          <w14:textFill>
            <w14:solidFill>
              <w14:schemeClr w14:val="tx1"/>
            </w14:solidFill>
          </w14:textFill>
        </w:rPr>
        <w:t>根据《</w:t>
      </w:r>
      <w:r>
        <w:rPr>
          <w:rFonts w:hint="eastAsia" w:ascii="仿宋_GB2312" w:hAnsi="仿宋_GB2312" w:cs="仿宋_GB2312"/>
          <w:color w:val="000000" w:themeColor="text1"/>
          <w:sz w:val="32"/>
          <w:szCs w:val="32"/>
          <w:highlight w:val="none"/>
          <w14:textFill>
            <w14:solidFill>
              <w14:schemeClr w14:val="tx1"/>
            </w14:solidFill>
          </w14:textFill>
        </w:rPr>
        <w:t>关于提前下达</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年城乡义务教育补助经费预算（中央直达资金）的通知</w:t>
      </w:r>
      <w:r>
        <w:rPr>
          <w:rFonts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沙财教【</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】12号</w:t>
      </w:r>
      <w:r>
        <w:rPr>
          <w:rFonts w:ascii="仿宋_GB2312" w:hAnsi="仿宋_GB2312" w:cs="仿宋_GB2312"/>
          <w:color w:val="000000" w:themeColor="text1"/>
          <w:sz w:val="32"/>
          <w:szCs w:val="32"/>
          <w:highlight w:val="none"/>
          <w14:textFill>
            <w14:solidFill>
              <w14:schemeClr w14:val="tx1"/>
            </w14:solidFill>
          </w14:textFill>
        </w:rPr>
        <w:t>文件要求，</w:t>
      </w:r>
      <w:r>
        <w:rPr>
          <w:rFonts w:hint="eastAsia" w:ascii="仿宋_GB2312" w:hAnsi="仿宋_GB2312" w:cs="仿宋_GB2312"/>
          <w:color w:val="000000" w:themeColor="text1"/>
          <w:sz w:val="32"/>
          <w:szCs w:val="32"/>
          <w:highlight w:val="none"/>
          <w14:textFill>
            <w14:solidFill>
              <w14:schemeClr w14:val="tx1"/>
            </w14:solidFill>
          </w14:textFill>
        </w:rPr>
        <w:t>持续巩固完善农村义务教育学校校舍安全保障长效机制，支持公办学校维修改造、抗震加固、改扩建校舍及其附属设施建设。</w:t>
      </w:r>
      <w:r>
        <w:rPr>
          <w:rFonts w:ascii="仿宋_GB2312" w:hAnsi="仿宋_GB2312" w:cs="仿宋_GB2312"/>
          <w:color w:val="000000" w:themeColor="text1"/>
          <w:sz w:val="32"/>
          <w:szCs w:val="32"/>
          <w:highlight w:val="none"/>
          <w14:textFill>
            <w14:solidFill>
              <w14:schemeClr w14:val="tx1"/>
            </w14:solidFill>
          </w14:textFill>
        </w:rPr>
        <w:t>为切实增强</w:t>
      </w:r>
      <w:r>
        <w:rPr>
          <w:rFonts w:hint="eastAsia" w:ascii="仿宋_GB2312" w:hAnsi="仿宋_GB2312" w:cs="仿宋_GB2312"/>
          <w:color w:val="000000" w:themeColor="text1"/>
          <w:sz w:val="32"/>
          <w:szCs w:val="32"/>
          <w:highlight w:val="none"/>
          <w14:textFill>
            <w14:solidFill>
              <w14:schemeClr w14:val="tx1"/>
            </w14:solidFill>
          </w14:textFill>
        </w:rPr>
        <w:t>学校</w:t>
      </w:r>
      <w:r>
        <w:rPr>
          <w:rFonts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u w:val="single"/>
          <w14:textFill>
            <w14:solidFill>
              <w14:schemeClr w14:val="tx1"/>
            </w14:solidFill>
          </w14:textFill>
        </w:rPr>
        <w:t>校舍安全</w:t>
      </w:r>
      <w:r>
        <w:rPr>
          <w:rFonts w:ascii="仿宋_GB2312" w:hAnsi="仿宋_GB2312" w:cs="仿宋_GB2312"/>
          <w:color w:val="000000" w:themeColor="text1"/>
          <w:sz w:val="32"/>
          <w:szCs w:val="32"/>
          <w:highlight w:val="none"/>
          <w:u w:val="single"/>
          <w14:textFill>
            <w14:solidFill>
              <w14:schemeClr w14:val="tx1"/>
            </w14:solidFill>
          </w14:textFill>
        </w:rPr>
        <w:t>”项</w:t>
      </w:r>
      <w:r>
        <w:rPr>
          <w:rFonts w:ascii="仿宋_GB2312" w:hAnsi="仿宋_GB2312" w:cs="仿宋_GB2312"/>
          <w:color w:val="000000" w:themeColor="text1"/>
          <w:sz w:val="32"/>
          <w:szCs w:val="32"/>
          <w:highlight w:val="none"/>
          <w14:textFill>
            <w14:solidFill>
              <w14:schemeClr w14:val="tx1"/>
            </w14:solidFill>
          </w14:textFill>
        </w:rPr>
        <w:t>目实施的计划性、针对性和有效性，确保目标任务顺利完成，使学校办学条件基本满足教学和生活需要，促进基本公共教育服务均等化，保障教育公平</w:t>
      </w:r>
      <w:r>
        <w:rPr>
          <w:rFonts w:hint="eastAsia" w:ascii="仿宋_GB2312" w:hAnsi="仿宋_GB2312" w:cs="仿宋_GB2312"/>
          <w:color w:val="000000" w:themeColor="text1"/>
          <w:sz w:val="32"/>
          <w:szCs w:val="32"/>
          <w:highlight w:val="none"/>
          <w14:textFill>
            <w14:solidFill>
              <w14:schemeClr w14:val="tx1"/>
            </w14:solidFill>
          </w14:textFill>
        </w:rPr>
        <w:t>。实施本项目的建设，</w:t>
      </w:r>
      <w:r>
        <w:rPr>
          <w:rFonts w:ascii="仿宋_GB2312" w:hAnsi="仿宋_GB2312" w:cs="仿宋_GB2312"/>
          <w:color w:val="000000" w:themeColor="text1"/>
          <w:sz w:val="32"/>
          <w:szCs w:val="32"/>
          <w:highlight w:val="none"/>
          <w14:textFill>
            <w14:solidFill>
              <w14:schemeClr w14:val="tx1"/>
            </w14:solidFill>
          </w14:textFill>
        </w:rPr>
        <w:t>为加快义务教育辅助步伐，全面改善薄弱学校基本办学条件，办人民满意的教育，</w:t>
      </w:r>
      <w:r>
        <w:rPr>
          <w:rFonts w:hint="eastAsia" w:ascii="仿宋_GB2312" w:hAnsi="仿宋_GB2312" w:cs="仿宋_GB2312"/>
          <w:color w:val="000000" w:themeColor="text1"/>
          <w:sz w:val="32"/>
          <w:szCs w:val="32"/>
          <w:highlight w:val="none"/>
          <w14:textFill>
            <w14:solidFill>
              <w14:schemeClr w14:val="tx1"/>
            </w14:solidFill>
          </w14:textFill>
        </w:rPr>
        <w:t>提供了有效保障。</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2.项目主要内容及实施情况</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本项目主要内容为：根据</w:t>
      </w:r>
      <w:r>
        <w:rPr>
          <w:rFonts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关于提前下达</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年城乡义务教育补助经费预算（中央直达资金）的通知</w:t>
      </w:r>
      <w:r>
        <w:rPr>
          <w:rFonts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沙财教【</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】12号</w:t>
      </w:r>
      <w:r>
        <w:rPr>
          <w:rFonts w:ascii="仿宋_GB2312" w:hAnsi="仿宋_GB2312" w:cs="仿宋_GB2312"/>
          <w:color w:val="000000" w:themeColor="text1"/>
          <w:sz w:val="32"/>
          <w:szCs w:val="32"/>
          <w:highlight w:val="none"/>
          <w14:textFill>
            <w14:solidFill>
              <w14:schemeClr w14:val="tx1"/>
            </w14:solidFill>
          </w14:textFill>
        </w:rPr>
        <w:t>文件</w:t>
      </w:r>
      <w:r>
        <w:rPr>
          <w:rFonts w:hint="eastAsia" w:ascii="仿宋_GB2312" w:hAnsi="仿宋_GB2312" w:cs="仿宋_GB2312"/>
          <w:color w:val="000000" w:themeColor="text1"/>
          <w:sz w:val="32"/>
          <w:szCs w:val="32"/>
          <w:highlight w:val="none"/>
          <w14:textFill>
            <w14:solidFill>
              <w14:schemeClr w14:val="tx1"/>
            </w14:solidFill>
          </w14:textFill>
        </w:rPr>
        <w:t>以及</w:t>
      </w:r>
      <w:r>
        <w:rPr>
          <w:rFonts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关于对</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年沙湾市城乡义务教育农村校舍安全保障长效机制项目--校舍维护改造立项的批复</w:t>
      </w:r>
      <w:r>
        <w:rPr>
          <w:rFonts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塔地教函【</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】27号</w:t>
      </w:r>
      <w:r>
        <w:rPr>
          <w:rFonts w:ascii="仿宋_GB2312" w:hAnsi="仿宋_GB2312" w:cs="仿宋_GB2312"/>
          <w:color w:val="000000" w:themeColor="text1"/>
          <w:sz w:val="32"/>
          <w:szCs w:val="32"/>
          <w:highlight w:val="none"/>
          <w14:textFill>
            <w14:solidFill>
              <w14:schemeClr w14:val="tx1"/>
            </w14:solidFill>
          </w14:textFill>
        </w:rPr>
        <w:t>文件</w:t>
      </w:r>
      <w:r>
        <w:rPr>
          <w:rFonts w:hint="eastAsia" w:ascii="仿宋_GB2312" w:hAnsi="仿宋_GB2312" w:cs="仿宋_GB2312"/>
          <w:color w:val="000000" w:themeColor="text1"/>
          <w:sz w:val="32"/>
          <w:szCs w:val="32"/>
          <w:highlight w:val="none"/>
          <w14:textFill>
            <w14:solidFill>
              <w14:schemeClr w14:val="tx1"/>
            </w14:solidFill>
          </w14:textFill>
        </w:rPr>
        <w:t>要求，本项目实施内容为：</w:t>
      </w:r>
      <w:r>
        <w:rPr>
          <w:rFonts w:hint="eastAsia" w:ascii="仿宋_GB2312" w:hAnsi="仿宋_GB2312" w:cs="仿宋_GB2312"/>
          <w:color w:val="auto"/>
          <w:sz w:val="32"/>
          <w:szCs w:val="32"/>
          <w:highlight w:val="none"/>
          <w:shd w:val="clear"/>
        </w:rPr>
        <w:t>功能室，教室门窗把手，合页进行更换维修，消防管网建设，学生宿舍室内粉刷1600平方米，三个课堂教室吊顶，安装吸音板，窗套，屋顶粉刷实施，</w:t>
      </w:r>
      <w:r>
        <w:rPr>
          <w:rFonts w:hint="eastAsia" w:ascii="仿宋_GB2312" w:hAnsi="仿宋_GB2312" w:cs="仿宋_GB2312"/>
          <w:color w:val="auto"/>
          <w:sz w:val="32"/>
          <w:szCs w:val="32"/>
          <w:highlight w:val="none"/>
          <w:shd w:val="clear"/>
          <w:lang w:val="en-US" w:eastAsia="zh-CN"/>
        </w:rPr>
        <w:t>等</w:t>
      </w:r>
      <w:r>
        <w:rPr>
          <w:rFonts w:hint="eastAsia" w:ascii="仿宋_GB2312" w:hAnsi="仿宋_GB2312" w:cs="仿宋_GB2312"/>
          <w:color w:val="auto"/>
          <w:sz w:val="32"/>
          <w:szCs w:val="32"/>
          <w:highlight w:val="none"/>
          <w:shd w:val="clear"/>
        </w:rPr>
        <w:t>项目</w:t>
      </w:r>
      <w:r>
        <w:rPr>
          <w:rFonts w:hint="eastAsia" w:ascii="仿宋_GB2312" w:hAnsi="仿宋_GB2312" w:cs="仿宋_GB2312"/>
          <w:color w:val="auto"/>
          <w:sz w:val="32"/>
          <w:szCs w:val="32"/>
          <w:highlight w:val="none"/>
          <w:shd w:val="clear"/>
          <w:lang w:eastAsia="zh-CN"/>
        </w:rPr>
        <w:t>，</w:t>
      </w:r>
      <w:r>
        <w:rPr>
          <w:rFonts w:hint="eastAsia" w:ascii="仿宋_GB2312" w:hAnsi="仿宋_GB2312" w:cs="仿宋_GB2312"/>
          <w:color w:val="000000" w:themeColor="text1"/>
          <w:sz w:val="32"/>
          <w:szCs w:val="32"/>
          <w:highlight w:val="none"/>
          <w14:textFill>
            <w14:solidFill>
              <w14:schemeClr w14:val="tx1"/>
            </w14:solidFill>
          </w14:textFill>
        </w:rPr>
        <w:t>金额为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39</w:t>
      </w:r>
      <w:r>
        <w:rPr>
          <w:rFonts w:hint="eastAsia" w:ascii="仿宋_GB2312" w:hAnsi="仿宋_GB2312" w:cs="仿宋_GB2312"/>
          <w:color w:val="000000" w:themeColor="text1"/>
          <w:sz w:val="32"/>
          <w:szCs w:val="32"/>
          <w:highlight w:val="none"/>
          <w14:textFill>
            <w14:solidFill>
              <w14:schemeClr w14:val="tx1"/>
            </w14:solidFill>
          </w14:textFill>
        </w:rPr>
        <w:t>万元。通过项目实施，旨在增强校舍安全；提高学校的硬件设施水平 ；同时达到</w:t>
      </w:r>
      <w:r>
        <w:rPr>
          <w:rFonts w:ascii="仿宋_GB2312" w:hAnsi="仿宋_GB2312" w:cs="仿宋_GB2312"/>
          <w:color w:val="000000" w:themeColor="text1"/>
          <w:sz w:val="32"/>
          <w:szCs w:val="32"/>
          <w:highlight w:val="none"/>
          <w14:textFill>
            <w14:solidFill>
              <w14:schemeClr w14:val="tx1"/>
            </w14:solidFill>
          </w14:textFill>
        </w:rPr>
        <w:t>舒适、安全的教学、生活设施，为师生提供优质的学习、生活环境</w:t>
      </w:r>
      <w:r>
        <w:rPr>
          <w:rFonts w:hint="eastAsia" w:ascii="仿宋_GB2312" w:hAnsi="仿宋_GB2312" w:cs="仿宋_GB2312"/>
          <w:color w:val="000000" w:themeColor="text1"/>
          <w:sz w:val="32"/>
          <w:szCs w:val="32"/>
          <w:highlight w:val="none"/>
          <w14:textFill>
            <w14:solidFill>
              <w14:schemeClr w14:val="tx1"/>
            </w14:solidFill>
          </w14:textFill>
        </w:rPr>
        <w:t>。</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本项目于</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年7月开始实施，截止</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年8月，该项目已实施完成，各项任务指标全部完成，通过本项目的实施，有效解决了校舍安全维修维护，提升了学校办学条件满足教学和生活需要，增强了教学科研设施服务及校园文化建设水平。</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3.项目实施主体</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年城乡义务教育补助经费中央直达（校舍安全保障资金）项目的实施主体为</w:t>
      </w:r>
      <w:r>
        <w:rPr>
          <w:rFonts w:hint="eastAsia" w:ascii="仿宋_GB2312" w:hAnsi="仿宋_GB2312" w:cs="仿宋_GB2312"/>
          <w:color w:val="000000" w:themeColor="text1"/>
          <w:sz w:val="32"/>
          <w:szCs w:val="32"/>
          <w:highlight w:val="none"/>
          <w:lang w:eastAsia="zh-CN"/>
          <w14:textFill>
            <w14:solidFill>
              <w14:schemeClr w14:val="tx1"/>
            </w14:solidFill>
          </w14:textFill>
        </w:rPr>
        <w:t>沙湾市东湾镇中心学校</w:t>
      </w:r>
      <w:r>
        <w:rPr>
          <w:rFonts w:hint="eastAsia" w:ascii="仿宋_GB2312" w:hAnsi="仿宋_GB2312" w:cs="仿宋_GB2312"/>
          <w:color w:val="000000" w:themeColor="text1"/>
          <w:sz w:val="32"/>
          <w:szCs w:val="32"/>
          <w:highlight w:val="none"/>
          <w14:textFill>
            <w14:solidFill>
              <w14:schemeClr w14:val="tx1"/>
            </w14:solidFill>
          </w14:textFill>
        </w:rPr>
        <w:t>。</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4.资金投入和使用情况</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FF0000"/>
          <w:sz w:val="32"/>
          <w:szCs w:val="32"/>
          <w:highlight w:val="none"/>
        </w:rPr>
      </w:pPr>
      <w:r>
        <w:rPr>
          <w:rFonts w:hint="eastAsia"/>
          <w:sz w:val="32"/>
          <w:szCs w:val="32"/>
          <w:highlight w:val="none"/>
        </w:rPr>
        <w:t>（1）项目资金安排落实、总投入情况</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FF0000"/>
          <w:sz w:val="32"/>
          <w:szCs w:val="32"/>
          <w:highlight w:val="none"/>
        </w:rPr>
      </w:pPr>
      <w:r>
        <w:rPr>
          <w:rFonts w:hint="eastAsia" w:ascii="仿宋_GB2312" w:hAnsi="仿宋_GB2312" w:cs="仿宋_GB2312"/>
          <w:color w:val="000000" w:themeColor="text1"/>
          <w:sz w:val="32"/>
          <w:szCs w:val="32"/>
          <w:highlight w:val="none"/>
          <w14:textFill>
            <w14:solidFill>
              <w14:schemeClr w14:val="tx1"/>
            </w14:solidFill>
          </w14:textFill>
        </w:rPr>
        <w:t>根据塔城地区财政局《关于提前下达</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年城乡义务教育补助经费预算的通知》（塔地财教〔</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〕54号）文件</w:t>
      </w:r>
      <w:r>
        <w:rPr>
          <w:rFonts w:hint="eastAsia" w:ascii="仿宋_GB2312" w:hAnsi="仿宋_GB2312" w:cs="仿宋_GB2312"/>
          <w:sz w:val="32"/>
          <w:szCs w:val="32"/>
          <w:highlight w:val="none"/>
        </w:rPr>
        <w:t>，</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年城乡义务教育补助经费中央直达（校舍安全保障资金）</w:t>
      </w:r>
      <w:r>
        <w:rPr>
          <w:rFonts w:hint="eastAsia" w:ascii="仿宋_GB2312"/>
          <w:sz w:val="32"/>
          <w:szCs w:val="32"/>
          <w:highlight w:val="none"/>
        </w:rPr>
        <w:t>项目</w:t>
      </w:r>
      <w:r>
        <w:rPr>
          <w:rFonts w:hint="eastAsia" w:ascii="仿宋_GB2312" w:hAnsi="仿宋_GB2312" w:cs="仿宋_GB2312"/>
          <w:sz w:val="32"/>
          <w:szCs w:val="32"/>
          <w:highlight w:val="none"/>
        </w:rPr>
        <w:t>预算安排</w:t>
      </w:r>
      <w:r>
        <w:rPr>
          <w:rFonts w:hint="eastAsia" w:ascii="仿宋_GB2312" w:hAnsi="仿宋_GB2312" w:cs="仿宋_GB2312"/>
          <w:color w:val="000000" w:themeColor="text1"/>
          <w:sz w:val="32"/>
          <w:szCs w:val="32"/>
          <w:highlight w:val="none"/>
          <w14:textFill>
            <w14:solidFill>
              <w14:schemeClr w14:val="tx1"/>
            </w14:solidFill>
          </w14:textFill>
        </w:rPr>
        <w:t>资金总额</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163</w:t>
      </w:r>
      <w:r>
        <w:rPr>
          <w:rFonts w:hint="eastAsia" w:ascii="仿宋_GB2312" w:hAnsi="仿宋_GB2312" w:cs="仿宋_GB2312"/>
          <w:color w:val="000000" w:themeColor="text1"/>
          <w:sz w:val="32"/>
          <w:szCs w:val="32"/>
          <w:highlight w:val="none"/>
          <w14:textFill>
            <w14:solidFill>
              <w14:schemeClr w14:val="tx1"/>
            </w14:solidFill>
          </w14:textFill>
        </w:rPr>
        <w:t>万元，其中财政资金</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163</w:t>
      </w:r>
      <w:r>
        <w:rPr>
          <w:rFonts w:hint="eastAsia" w:ascii="仿宋_GB2312" w:hAnsi="仿宋_GB2312" w:cs="仿宋_GB2312"/>
          <w:color w:val="000000" w:themeColor="text1"/>
          <w:sz w:val="32"/>
          <w:szCs w:val="32"/>
          <w:highlight w:val="none"/>
          <w14:textFill>
            <w14:solidFill>
              <w14:schemeClr w14:val="tx1"/>
            </w14:solidFill>
          </w14:textFill>
        </w:rPr>
        <w:t>万元、其他资金0万元；</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年实际收到预算资金</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163</w:t>
      </w:r>
      <w:r>
        <w:rPr>
          <w:rFonts w:hint="eastAsia" w:ascii="仿宋_GB2312" w:hAnsi="仿宋_GB2312" w:cs="仿宋_GB2312"/>
          <w:color w:val="000000" w:themeColor="text1"/>
          <w:sz w:val="32"/>
          <w:szCs w:val="32"/>
          <w:highlight w:val="none"/>
          <w14:textFill>
            <w14:solidFill>
              <w14:schemeClr w14:val="tx1"/>
            </w14:solidFill>
          </w14:textFill>
        </w:rPr>
        <w:t>万元，预算资金到位率为100%。</w:t>
      </w:r>
    </w:p>
    <w:p>
      <w:pPr>
        <w:pageBreakBefore w:val="0"/>
        <w:widowControl w:val="0"/>
        <w:kinsoku/>
        <w:wordWrap/>
        <w:topLinePunct w:val="0"/>
        <w:autoSpaceDE/>
        <w:autoSpaceDN/>
        <w:bidi w:val="0"/>
        <w:spacing w:after="0" w:afterAutospacing="0" w:line="560" w:lineRule="exact"/>
        <w:ind w:left="0" w:leftChars="0" w:firstLine="640"/>
        <w:textAlignment w:val="auto"/>
        <w:rPr>
          <w:sz w:val="32"/>
          <w:szCs w:val="32"/>
          <w:highlight w:val="none"/>
        </w:rPr>
      </w:pPr>
      <w:r>
        <w:rPr>
          <w:rFonts w:hint="eastAsia"/>
          <w:sz w:val="32"/>
          <w:szCs w:val="32"/>
          <w:highlight w:val="none"/>
          <w:lang w:eastAsia="zh-CN"/>
        </w:rPr>
        <w:t>（</w:t>
      </w:r>
      <w:r>
        <w:rPr>
          <w:rFonts w:hint="eastAsia"/>
          <w:sz w:val="32"/>
          <w:szCs w:val="32"/>
          <w:highlight w:val="none"/>
          <w:lang w:val="en-US" w:eastAsia="zh-CN"/>
        </w:rPr>
        <w:t>2</w:t>
      </w:r>
      <w:r>
        <w:rPr>
          <w:rFonts w:hint="eastAsia"/>
          <w:sz w:val="32"/>
          <w:szCs w:val="32"/>
          <w:highlight w:val="none"/>
          <w:lang w:eastAsia="zh-CN"/>
        </w:rPr>
        <w:t>）</w:t>
      </w:r>
      <w:r>
        <w:rPr>
          <w:rFonts w:hint="eastAsia"/>
          <w:sz w:val="32"/>
          <w:szCs w:val="32"/>
          <w:highlight w:val="none"/>
        </w:rPr>
        <w:t>项目资金实际使用情况</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sz w:val="32"/>
          <w:szCs w:val="32"/>
          <w:highlight w:val="none"/>
        </w:rPr>
      </w:pPr>
      <w:r>
        <w:rPr>
          <w:rFonts w:hint="eastAsia" w:ascii="仿宋_GB2312" w:hAnsi="仿宋_GB2312" w:cs="仿宋_GB2312"/>
          <w:color w:val="000000" w:themeColor="text1"/>
          <w:sz w:val="32"/>
          <w:szCs w:val="32"/>
          <w:highlight w:val="none"/>
          <w14:textFill>
            <w14:solidFill>
              <w14:schemeClr w14:val="tx1"/>
            </w14:solidFill>
          </w14:textFill>
        </w:rPr>
        <w:t>截至</w:t>
      </w: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年12月31日，本项目实际支付资金</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163</w:t>
      </w:r>
      <w:r>
        <w:rPr>
          <w:rFonts w:hint="eastAsia" w:ascii="仿宋_GB2312" w:hAnsi="仿宋_GB2312" w:cs="仿宋_GB2312"/>
          <w:color w:val="000000" w:themeColor="text1"/>
          <w:sz w:val="32"/>
          <w:szCs w:val="32"/>
          <w:highlight w:val="none"/>
          <w14:textFill>
            <w14:solidFill>
              <w14:schemeClr w14:val="tx1"/>
            </w14:solidFill>
          </w14:textFill>
        </w:rPr>
        <w:t>万元，预算执行率100%。项目资金主要用于支付</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消防水池项目163</w:t>
      </w:r>
      <w:r>
        <w:rPr>
          <w:rFonts w:hint="eastAsia" w:ascii="仿宋_GB2312" w:hAnsi="仿宋_GB2312" w:cs="仿宋_GB2312"/>
          <w:color w:val="000000" w:themeColor="text1"/>
          <w:sz w:val="32"/>
          <w:szCs w:val="32"/>
          <w:highlight w:val="none"/>
          <w14:textFill>
            <w14:solidFill>
              <w14:schemeClr w14:val="tx1"/>
            </w14:solidFill>
          </w14:textFill>
        </w:rPr>
        <w:t>万元。</w:t>
      </w:r>
    </w:p>
    <w:p>
      <w:pPr>
        <w:pStyle w:val="4"/>
        <w:pageBreakBefore w:val="0"/>
        <w:widowControl w:val="0"/>
        <w:numPr>
          <w:ilvl w:val="0"/>
          <w:numId w:val="2"/>
        </w:numPr>
        <w:kinsoku/>
        <w:wordWrap/>
        <w:topLinePunct w:val="0"/>
        <w:autoSpaceDE/>
        <w:autoSpaceDN/>
        <w:bidi w:val="0"/>
        <w:spacing w:after="0" w:afterAutospacing="0" w:line="560" w:lineRule="exact"/>
        <w:ind w:left="0" w:leftChars="0" w:firstLine="643"/>
        <w:textAlignment w:val="auto"/>
        <w:rPr>
          <w:rFonts w:ascii="楷体_GB2312" w:eastAsia="楷体_GB2312"/>
          <w:szCs w:val="32"/>
          <w:highlight w:val="none"/>
        </w:rPr>
      </w:pPr>
      <w:r>
        <w:rPr>
          <w:rFonts w:hint="eastAsia" w:ascii="楷体_GB2312" w:eastAsia="楷体_GB2312"/>
          <w:szCs w:val="32"/>
          <w:highlight w:val="none"/>
        </w:rPr>
        <w:t>项目绩效目标</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1.总体目标</w:t>
      </w:r>
    </w:p>
    <w:p>
      <w:pPr>
        <w:keepNext w:val="0"/>
        <w:keepLines w:val="0"/>
        <w:pageBreakBefore w:val="0"/>
        <w:widowControl w:val="0"/>
        <w:kinsoku/>
        <w:wordWrap/>
        <w:overflowPunct/>
        <w:topLinePunct w:val="0"/>
        <w:autoSpaceDE/>
        <w:autoSpaceDN/>
        <w:bidi w:val="0"/>
        <w:adjustRightInd/>
        <w:snapToGrid/>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为切实增强学校“校舍安全”项目实施的计划性、针对性和有效性，确保目标任务顺利完成，使学校办学条件基本满足教学和生活需要，促进基本公共教育服务均等化，保障教育公平，全面改善薄弱学校基本办学条件，办人民满意的教育，提供了有效保障。目标1</w:t>
      </w:r>
      <w:r>
        <w:rPr>
          <w:rFonts w:hint="eastAsia" w:ascii="仿宋_GB2312" w:hAnsi="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学生宿舍粉刷总面积（平方米）</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年度指标值</w:t>
      </w:r>
      <w:r>
        <w:rPr>
          <w:rFonts w:hint="eastAsia" w:ascii="仿宋_GB2312" w:hAnsi="仿宋_GB2312" w:cs="仿宋_GB2312"/>
          <w:color w:val="000000" w:themeColor="text1"/>
          <w:sz w:val="32"/>
          <w:szCs w:val="32"/>
          <w:highlight w:val="none"/>
          <w:lang w:eastAsia="zh-CN"/>
          <w14:textFill>
            <w14:solidFill>
              <w14:schemeClr w14:val="tx1"/>
            </w14:solidFill>
          </w14:textFill>
        </w:rPr>
        <w:t>大于等于</w:t>
      </w:r>
      <w:r>
        <w:rPr>
          <w:rFonts w:hint="eastAsia" w:ascii="仿宋_GB2312" w:hAnsi="仿宋_GB2312" w:cs="仿宋_GB2312"/>
          <w:color w:val="000000" w:themeColor="text1"/>
          <w:sz w:val="32"/>
          <w:szCs w:val="32"/>
          <w:highlight w:val="none"/>
          <w14:textFill>
            <w14:solidFill>
              <w14:schemeClr w14:val="tx1"/>
            </w14:solidFill>
          </w14:textFill>
        </w:rPr>
        <w:t>1600平方米</w:t>
      </w:r>
      <w:r>
        <w:rPr>
          <w:rFonts w:hint="eastAsia" w:ascii="仿宋_GB2312" w:hAnsi="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目标2</w:t>
      </w:r>
      <w:r>
        <w:rPr>
          <w:rFonts w:hint="eastAsia" w:ascii="仿宋_GB2312" w:hAnsi="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教室门窗把手更换维修（个）年度指标值</w:t>
      </w:r>
      <w:r>
        <w:rPr>
          <w:rFonts w:hint="eastAsia" w:ascii="仿宋_GB2312" w:hAnsi="仿宋_GB2312" w:cs="仿宋_GB2312"/>
          <w:color w:val="000000" w:themeColor="text1"/>
          <w:sz w:val="32"/>
          <w:szCs w:val="32"/>
          <w:highlight w:val="none"/>
          <w:lang w:eastAsia="zh-CN"/>
          <w14:textFill>
            <w14:solidFill>
              <w14:schemeClr w14:val="tx1"/>
            </w14:solidFill>
          </w14:textFill>
        </w:rPr>
        <w:t>大于等于24个；</w:t>
      </w:r>
      <w:r>
        <w:rPr>
          <w:rFonts w:hint="eastAsia" w:ascii="仿宋_GB2312" w:hAnsi="仿宋_GB2312" w:cs="仿宋_GB2312"/>
          <w:color w:val="000000" w:themeColor="text1"/>
          <w:sz w:val="32"/>
          <w:szCs w:val="32"/>
          <w:highlight w:val="none"/>
          <w14:textFill>
            <w14:solidFill>
              <w14:schemeClr w14:val="tx1"/>
            </w14:solidFill>
          </w14:textFill>
        </w:rPr>
        <w:t>目标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三个课堂装修面积（平方米）年度指标值</w:t>
      </w:r>
      <w:r>
        <w:rPr>
          <w:rFonts w:hint="eastAsia" w:ascii="仿宋_GB2312" w:hAnsi="仿宋_GB2312" w:cs="仿宋_GB2312"/>
          <w:color w:val="000000" w:themeColor="text1"/>
          <w:sz w:val="32"/>
          <w:szCs w:val="32"/>
          <w:highlight w:val="none"/>
          <w:lang w:eastAsia="zh-CN"/>
          <w14:textFill>
            <w14:solidFill>
              <w14:schemeClr w14:val="tx1"/>
            </w14:solidFill>
          </w14:textFill>
        </w:rPr>
        <w:t>大于等于</w:t>
      </w:r>
      <w:r>
        <w:rPr>
          <w:rFonts w:hint="eastAsia" w:ascii="仿宋_GB2312" w:hAnsi="仿宋_GB2312" w:cs="仿宋_GB2312"/>
          <w:color w:val="000000" w:themeColor="text1"/>
          <w:sz w:val="32"/>
          <w:szCs w:val="32"/>
          <w:highlight w:val="none"/>
          <w14:textFill>
            <w14:solidFill>
              <w14:schemeClr w14:val="tx1"/>
            </w14:solidFill>
          </w14:textFill>
        </w:rPr>
        <w:t>86.8平方米；目标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工程竣工验收合格率为年度指标值</w:t>
      </w:r>
      <w:r>
        <w:rPr>
          <w:rFonts w:hint="eastAsia" w:ascii="仿宋_GB2312" w:hAnsi="仿宋_GB2312" w:cs="仿宋_GB2312"/>
          <w:color w:val="000000" w:themeColor="text1"/>
          <w:sz w:val="32"/>
          <w:szCs w:val="32"/>
          <w:highlight w:val="none"/>
          <w:lang w:eastAsia="zh-CN"/>
          <w14:textFill>
            <w14:solidFill>
              <w14:schemeClr w14:val="tx1"/>
            </w14:solidFill>
          </w14:textFill>
        </w:rPr>
        <w:t>等于</w:t>
      </w:r>
      <w:r>
        <w:rPr>
          <w:rFonts w:hint="eastAsia" w:ascii="仿宋_GB2312" w:hAnsi="仿宋_GB2312" w:cs="仿宋_GB2312"/>
          <w:color w:val="000000" w:themeColor="text1"/>
          <w:sz w:val="32"/>
          <w:szCs w:val="32"/>
          <w:highlight w:val="none"/>
          <w14:textFill>
            <w14:solidFill>
              <w14:schemeClr w14:val="tx1"/>
            </w14:solidFill>
          </w14:textFill>
        </w:rPr>
        <w:t>100%；目标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5：</w:t>
      </w:r>
      <w:r>
        <w:rPr>
          <w:rFonts w:hint="eastAsia" w:ascii="仿宋_GB2312" w:hAnsi="仿宋_GB2312" w:cs="仿宋_GB2312"/>
          <w:color w:val="000000" w:themeColor="text1"/>
          <w:sz w:val="32"/>
          <w:szCs w:val="32"/>
          <w:highlight w:val="none"/>
          <w14:textFill>
            <w14:solidFill>
              <w14:schemeClr w14:val="tx1"/>
            </w14:solidFill>
          </w14:textFill>
        </w:rPr>
        <w:t>项目资金支付及时率年度指标值</w:t>
      </w:r>
      <w:r>
        <w:rPr>
          <w:rFonts w:hint="eastAsia" w:ascii="仿宋_GB2312" w:hAnsi="仿宋_GB2312" w:cs="仿宋_GB2312"/>
          <w:color w:val="000000" w:themeColor="text1"/>
          <w:sz w:val="32"/>
          <w:szCs w:val="32"/>
          <w:highlight w:val="none"/>
          <w:lang w:eastAsia="zh-CN"/>
          <w14:textFill>
            <w14:solidFill>
              <w14:schemeClr w14:val="tx1"/>
            </w14:solidFill>
          </w14:textFill>
        </w:rPr>
        <w:t>等于</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cs="仿宋_GB2312"/>
          <w:color w:val="000000" w:themeColor="text1"/>
          <w:sz w:val="32"/>
          <w:szCs w:val="32"/>
          <w:highlight w:val="none"/>
          <w14:textFill>
            <w14:solidFill>
              <w14:schemeClr w14:val="tx1"/>
            </w14:solidFill>
          </w14:textFill>
        </w:rPr>
        <w:t>；目标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6：</w:t>
      </w:r>
      <w:r>
        <w:rPr>
          <w:rFonts w:hint="eastAsia" w:ascii="仿宋_GB2312" w:hAnsi="仿宋_GB2312" w:cs="仿宋_GB2312"/>
          <w:color w:val="000000" w:themeColor="text1"/>
          <w:sz w:val="32"/>
          <w:szCs w:val="32"/>
          <w:highlight w:val="none"/>
          <w14:textFill>
            <w14:solidFill>
              <w14:schemeClr w14:val="tx1"/>
            </w14:solidFill>
          </w14:textFill>
        </w:rPr>
        <w:t>项目完成时限年度指标值</w:t>
      </w:r>
      <w:r>
        <w:rPr>
          <w:rFonts w:hint="eastAsia" w:ascii="仿宋_GB2312" w:hAnsi="仿宋_GB2312" w:cs="仿宋_GB2312"/>
          <w:color w:val="000000" w:themeColor="text1"/>
          <w:sz w:val="32"/>
          <w:szCs w:val="32"/>
          <w:highlight w:val="none"/>
          <w:lang w:eastAsia="zh-CN"/>
          <w14:textFill>
            <w14:solidFill>
              <w14:schemeClr w14:val="tx1"/>
            </w14:solidFill>
          </w14:textFill>
        </w:rPr>
        <w:t>等于2023</w:t>
      </w:r>
      <w:r>
        <w:rPr>
          <w:rFonts w:hint="eastAsia" w:ascii="仿宋_GB2312" w:hAnsi="仿宋_GB2312" w:cs="仿宋_GB2312"/>
          <w:color w:val="000000" w:themeColor="text1"/>
          <w:sz w:val="32"/>
          <w:szCs w:val="32"/>
          <w:highlight w:val="none"/>
          <w14:textFill>
            <w14:solidFill>
              <w14:schemeClr w14:val="tx1"/>
            </w14:solidFill>
          </w14:textFill>
        </w:rPr>
        <w:t>年12月25日</w:t>
      </w:r>
      <w:r>
        <w:rPr>
          <w:rFonts w:hint="eastAsia" w:ascii="仿宋_GB2312" w:hAnsi="仿宋_GB2312" w:cs="仿宋_GB2312"/>
          <w:color w:val="000000" w:themeColor="text1"/>
          <w:sz w:val="32"/>
          <w:szCs w:val="32"/>
          <w:highlight w:val="none"/>
          <w:lang w:eastAsia="zh-CN"/>
          <w14:textFill>
            <w14:solidFill>
              <w14:schemeClr w14:val="tx1"/>
            </w14:solidFill>
          </w14:textFill>
        </w:rPr>
        <w:t>前；</w:t>
      </w:r>
      <w:r>
        <w:rPr>
          <w:rFonts w:hint="eastAsia" w:ascii="仿宋_GB2312" w:hAnsi="仿宋_GB2312" w:cs="仿宋_GB2312"/>
          <w:color w:val="000000" w:themeColor="text1"/>
          <w:sz w:val="32"/>
          <w:szCs w:val="32"/>
          <w:highlight w:val="none"/>
          <w14:textFill>
            <w14:solidFill>
              <w14:schemeClr w14:val="tx1"/>
            </w14:solidFill>
          </w14:textFill>
        </w:rPr>
        <w:t>对功能室，教室门窗把手，合页进行更换维修，消防管网建设，学生宿舍室内粉刷1600平方米，三个课堂教室</w:t>
      </w:r>
      <w:r>
        <w:rPr>
          <w:rFonts w:hint="eastAsia" w:ascii="仿宋_GB2312" w:hAnsi="仿宋_GB2312" w:cs="仿宋_GB2312"/>
          <w:color w:val="000000" w:themeColor="text1"/>
          <w:sz w:val="32"/>
          <w:szCs w:val="32"/>
          <w:highlight w:val="none"/>
          <w:lang w:eastAsia="zh-CN"/>
          <w14:textFill>
            <w14:solidFill>
              <w14:schemeClr w14:val="tx1"/>
            </w14:solidFill>
          </w14:textFill>
        </w:rPr>
        <w:t>装修</w:t>
      </w:r>
      <w:r>
        <w:rPr>
          <w:rFonts w:hint="eastAsia" w:ascii="仿宋_GB2312" w:hAnsi="仿宋_GB2312" w:cs="仿宋_GB2312"/>
          <w:color w:val="000000" w:themeColor="text1"/>
          <w:sz w:val="32"/>
          <w:szCs w:val="32"/>
          <w:highlight w:val="none"/>
          <w14:textFill>
            <w14:solidFill>
              <w14:schemeClr w14:val="tx1"/>
            </w14:solidFill>
          </w14:textFill>
        </w:rPr>
        <w:t>粉刷等维护等</w:t>
      </w:r>
      <w:r>
        <w:rPr>
          <w:rFonts w:hint="eastAsia" w:ascii="仿宋_GB2312" w:hAnsi="仿宋_GB2312" w:cs="仿宋_GB2312"/>
          <w:color w:val="000000" w:themeColor="text1"/>
          <w:sz w:val="32"/>
          <w:szCs w:val="32"/>
          <w:highlight w:val="none"/>
          <w:lang w:eastAsia="zh-CN"/>
          <w14:textFill>
            <w14:solidFill>
              <w14:schemeClr w14:val="tx1"/>
            </w14:solidFill>
          </w14:textFill>
        </w:rPr>
        <w:t>成本</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39</w:t>
      </w:r>
      <w:r>
        <w:rPr>
          <w:rFonts w:hint="eastAsia" w:ascii="仿宋_GB2312" w:hAnsi="仿宋_GB2312" w:cs="仿宋_GB2312"/>
          <w:color w:val="000000" w:themeColor="text1"/>
          <w:sz w:val="32"/>
          <w:szCs w:val="32"/>
          <w:highlight w:val="none"/>
          <w14:textFill>
            <w14:solidFill>
              <w14:schemeClr w14:val="tx1"/>
            </w14:solidFill>
          </w14:textFill>
        </w:rPr>
        <w:t>万元，计划通过本项目的实施，旨在增强校舍安全；提高学校的硬件设施水平 ；同时达到舒适、安全的教学、生活设施，为师生提供优质的学习、生活环境。</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2.阶段性目标</w:t>
      </w:r>
    </w:p>
    <w:p>
      <w:pPr>
        <w:keepNext w:val="0"/>
        <w:keepLines w:val="0"/>
        <w:pageBreakBefore w:val="0"/>
        <w:widowControl w:val="0"/>
        <w:kinsoku/>
        <w:wordWrap/>
        <w:overflowPunct/>
        <w:topLinePunct w:val="0"/>
        <w:autoSpaceDE/>
        <w:autoSpaceDN/>
        <w:bidi w:val="0"/>
        <w:adjustRightInd/>
        <w:snapToGrid/>
        <w:spacing w:after="0" w:afterAutospacing="0" w:line="560" w:lineRule="exact"/>
        <w:ind w:left="0" w:leftChars="0" w:firstLine="640"/>
        <w:textAlignment w:val="auto"/>
        <w:rPr>
          <w:rFonts w:ascii="仿宋_GB2312" w:hAnsi="Arial" w:cs="宋体"/>
          <w:bCs/>
          <w:color w:val="000000"/>
          <w:sz w:val="32"/>
          <w:szCs w:val="32"/>
          <w:highlight w:val="none"/>
        </w:rPr>
      </w:pPr>
      <w:r>
        <w:rPr>
          <w:rFonts w:hint="eastAsia" w:ascii="仿宋_GB2312" w:hAnsi="Arial" w:cs="宋体"/>
          <w:bCs/>
          <w:color w:val="000000"/>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highlight w:val="none"/>
        </w:rPr>
        <w:t>〔</w:t>
      </w:r>
      <w:r>
        <w:rPr>
          <w:rFonts w:hint="eastAsia" w:ascii="仿宋_GB2312" w:hAnsi="Arial" w:cs="宋体"/>
          <w:bCs/>
          <w:color w:val="000000"/>
          <w:sz w:val="32"/>
          <w:szCs w:val="32"/>
          <w:highlight w:val="none"/>
        </w:rPr>
        <w:t>2020</w:t>
      </w:r>
      <w:r>
        <w:rPr>
          <w:rFonts w:hint="eastAsia" w:ascii="仿宋_GB2312" w:hAnsi="微软雅黑" w:cs="微软雅黑"/>
          <w:bCs/>
          <w:color w:val="000000"/>
          <w:sz w:val="32"/>
          <w:szCs w:val="32"/>
          <w:highlight w:val="none"/>
        </w:rPr>
        <w:t>〕</w:t>
      </w:r>
      <w:r>
        <w:rPr>
          <w:rFonts w:hint="eastAsia" w:ascii="仿宋_GB2312" w:hAnsi="Arial" w:cs="宋体"/>
          <w:bCs/>
          <w:color w:val="000000"/>
          <w:sz w:val="32"/>
          <w:szCs w:val="32"/>
          <w:highlight w:val="none"/>
        </w:rPr>
        <w:t>10号）、《塔城地区财政</w:t>
      </w:r>
      <w:r>
        <w:rPr>
          <w:rFonts w:hint="eastAsia" w:ascii="仿宋_GB2312"/>
          <w:sz w:val="32"/>
          <w:szCs w:val="32"/>
          <w:highlight w:val="none"/>
        </w:rPr>
        <w:t>支出绩效评价管理暂行办法》（塔地财预〔201</w:t>
      </w:r>
      <w:r>
        <w:rPr>
          <w:rFonts w:ascii="仿宋_GB2312"/>
          <w:sz w:val="32"/>
          <w:szCs w:val="32"/>
          <w:highlight w:val="none"/>
        </w:rPr>
        <w:t>8</w:t>
      </w:r>
      <w:r>
        <w:rPr>
          <w:rFonts w:hint="eastAsia" w:ascii="仿宋_GB2312"/>
          <w:sz w:val="32"/>
          <w:szCs w:val="32"/>
          <w:highlight w:val="none"/>
        </w:rPr>
        <w:t>〕</w:t>
      </w:r>
      <w:r>
        <w:rPr>
          <w:rFonts w:ascii="仿宋_GB2312"/>
          <w:sz w:val="32"/>
          <w:szCs w:val="32"/>
          <w:highlight w:val="none"/>
        </w:rPr>
        <w:t>114</w:t>
      </w:r>
      <w:r>
        <w:rPr>
          <w:rFonts w:hint="eastAsia" w:ascii="仿宋_GB2312"/>
          <w:sz w:val="32"/>
          <w:szCs w:val="32"/>
          <w:highlight w:val="none"/>
        </w:rPr>
        <w:t>号）等文件要求，</w:t>
      </w:r>
      <w:r>
        <w:rPr>
          <w:rFonts w:hint="eastAsia" w:ascii="仿宋_GB2312" w:hAnsi="Arial" w:cs="宋体"/>
          <w:bCs/>
          <w:color w:val="000000"/>
          <w:sz w:val="32"/>
          <w:szCs w:val="32"/>
          <w:highlight w:val="none"/>
        </w:rPr>
        <w:t>结合本项目实际，对绩效目标进行逐层分解、细化后的具体绩效指标如下：</w:t>
      </w:r>
    </w:p>
    <w:p>
      <w:pPr>
        <w:keepNext w:val="0"/>
        <w:keepLines w:val="0"/>
        <w:pageBreakBefore w:val="0"/>
        <w:widowControl w:val="0"/>
        <w:numPr>
          <w:ilvl w:val="0"/>
          <w:numId w:val="0"/>
        </w:numPr>
        <w:kinsoku/>
        <w:wordWrap/>
        <w:overflowPunct/>
        <w:topLinePunct w:val="0"/>
        <w:autoSpaceDE/>
        <w:autoSpaceDN/>
        <w:bidi w:val="0"/>
        <w:adjustRightInd/>
        <w:snapToGrid/>
        <w:spacing w:after="0" w:afterAutospacing="0" w:line="560" w:lineRule="exact"/>
        <w:ind w:leftChars="200"/>
        <w:textAlignment w:val="auto"/>
        <w:rPr>
          <w:sz w:val="32"/>
          <w:szCs w:val="32"/>
          <w:highlight w:val="none"/>
        </w:rPr>
      </w:pPr>
      <w:r>
        <w:rPr>
          <w:rFonts w:hint="eastAsia"/>
          <w:sz w:val="32"/>
          <w:szCs w:val="32"/>
          <w:highlight w:val="none"/>
          <w:lang w:eastAsia="zh-CN"/>
        </w:rPr>
        <w:t>（</w:t>
      </w:r>
      <w:r>
        <w:rPr>
          <w:rFonts w:hint="eastAsia"/>
          <w:sz w:val="32"/>
          <w:szCs w:val="32"/>
          <w:highlight w:val="none"/>
          <w:lang w:val="en-US" w:eastAsia="zh-CN"/>
        </w:rPr>
        <w:t>1）</w:t>
      </w:r>
      <w:r>
        <w:rPr>
          <w:rFonts w:hint="eastAsia"/>
          <w:sz w:val="32"/>
          <w:szCs w:val="32"/>
          <w:highlight w:val="none"/>
        </w:rPr>
        <w:t>项目产出指标</w:t>
      </w:r>
    </w:p>
    <w:p>
      <w:pPr>
        <w:keepNext w:val="0"/>
        <w:keepLines w:val="0"/>
        <w:pageBreakBefore w:val="0"/>
        <w:widowControl w:val="0"/>
        <w:kinsoku/>
        <w:wordWrap/>
        <w:overflowPunct/>
        <w:topLinePunct w:val="0"/>
        <w:autoSpaceDE/>
        <w:autoSpaceDN/>
        <w:bidi w:val="0"/>
        <w:adjustRightInd/>
        <w:snapToGrid/>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①数量指标</w:t>
      </w:r>
    </w:p>
    <w:p>
      <w:pPr>
        <w:keepNext w:val="0"/>
        <w:keepLines w:val="0"/>
        <w:pageBreakBefore w:val="0"/>
        <w:widowControl w:val="0"/>
        <w:kinsoku/>
        <w:wordWrap/>
        <w:overflowPunct/>
        <w:topLinePunct w:val="0"/>
        <w:autoSpaceDE/>
        <w:autoSpaceDN/>
        <w:bidi w:val="0"/>
        <w:adjustRightInd/>
        <w:snapToGrid/>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学生宿舍粉刷总面积</w:t>
      </w:r>
      <w:r>
        <w:rPr>
          <w:rFonts w:hint="eastAsia" w:ascii="仿宋_GB2312" w:hAnsi="仿宋_GB2312" w:eastAsia="仿宋_GB2312" w:cs="仿宋_GB2312"/>
          <w:color w:val="auto"/>
          <w:sz w:val="32"/>
          <w:szCs w:val="32"/>
          <w:highlight w:val="none"/>
          <w:shd w:val="clear"/>
        </w:rPr>
        <w:t>（平方米）</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指标，预期指标值为“</w:t>
      </w:r>
      <w:r>
        <w:rPr>
          <w:rFonts w:hint="eastAsia" w:ascii="仿宋_GB2312" w:hAnsi="仿宋_GB2312" w:eastAsia="仿宋_GB2312" w:cs="仿宋_GB2312"/>
          <w:sz w:val="32"/>
          <w:szCs w:val="32"/>
          <w:highlight w:val="none"/>
          <w:lang w:eastAsia="zh-CN"/>
        </w:rPr>
        <w:t>大于</w:t>
      </w:r>
      <w:r>
        <w:rPr>
          <w:rFonts w:hint="eastAsia" w:ascii="仿宋_GB2312" w:hAnsi="仿宋_GB2312" w:eastAsia="仿宋_GB2312" w:cs="仿宋_GB2312"/>
          <w:sz w:val="32"/>
          <w:szCs w:val="32"/>
          <w:highlight w:val="none"/>
        </w:rPr>
        <w:t>等于</w:t>
      </w:r>
      <w:r>
        <w:rPr>
          <w:rFonts w:hint="eastAsia" w:ascii="仿宋_GB2312" w:hAnsi="仿宋_GB2312" w:cs="仿宋_GB2312"/>
          <w:sz w:val="32"/>
          <w:szCs w:val="32"/>
          <w:highlight w:val="none"/>
          <w:lang w:val="en-US" w:eastAsia="zh-CN"/>
        </w:rPr>
        <w:t>1600</w:t>
      </w:r>
      <w:r>
        <w:rPr>
          <w:rFonts w:hint="eastAsia" w:ascii="仿宋_GB2312" w:hAnsi="仿宋_GB2312" w:eastAsia="仿宋_GB2312" w:cs="仿宋_GB2312"/>
          <w:sz w:val="32"/>
          <w:szCs w:val="32"/>
          <w:highlight w:val="none"/>
          <w:lang w:val="en-US" w:eastAsia="zh-CN"/>
        </w:rPr>
        <w:t>平方米</w:t>
      </w:r>
      <w:r>
        <w:rPr>
          <w:rFonts w:hint="eastAsia" w:ascii="仿宋_GB2312" w:hAnsi="仿宋_GB2312" w:eastAsia="仿宋_GB2312" w:cs="仿宋_GB2312"/>
          <w:sz w:val="32"/>
          <w:szCs w:val="32"/>
          <w:highlight w:val="none"/>
        </w:rPr>
        <w:t>”；</w:t>
      </w:r>
    </w:p>
    <w:p>
      <w:pPr>
        <w:pStyle w:val="2"/>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教室门窗把手更换维修（个）</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指标，预期指标值为“</w:t>
      </w:r>
      <w:r>
        <w:rPr>
          <w:rFonts w:hint="eastAsia" w:ascii="仿宋_GB2312" w:hAnsi="仿宋_GB2312" w:eastAsia="仿宋_GB2312" w:cs="仿宋_GB2312"/>
          <w:b w:val="0"/>
          <w:bCs w:val="0"/>
          <w:sz w:val="32"/>
          <w:szCs w:val="32"/>
          <w:highlight w:val="none"/>
          <w:lang w:eastAsia="zh-CN"/>
        </w:rPr>
        <w:t>大于</w:t>
      </w:r>
      <w:r>
        <w:rPr>
          <w:rFonts w:hint="eastAsia" w:ascii="仿宋_GB2312" w:hAnsi="仿宋_GB2312" w:eastAsia="仿宋_GB2312" w:cs="仿宋_GB2312"/>
          <w:b w:val="0"/>
          <w:bCs w:val="0"/>
          <w:sz w:val="32"/>
          <w:szCs w:val="32"/>
          <w:highlight w:val="none"/>
        </w:rPr>
        <w:t>等于</w:t>
      </w:r>
      <w:r>
        <w:rPr>
          <w:rFonts w:hint="eastAsia" w:cs="仿宋_GB2312"/>
          <w:b w:val="0"/>
          <w:bCs w:val="0"/>
          <w:sz w:val="32"/>
          <w:szCs w:val="32"/>
          <w:highlight w:val="none"/>
          <w:lang w:val="en-US" w:eastAsia="zh-CN"/>
        </w:rPr>
        <w:t>24个</w:t>
      </w:r>
      <w:r>
        <w:rPr>
          <w:rFonts w:hint="eastAsia" w:ascii="仿宋_GB2312" w:hAnsi="仿宋_GB2312" w:eastAsia="仿宋_GB2312" w:cs="仿宋_GB2312"/>
          <w:b w:val="0"/>
          <w:bCs w:val="0"/>
          <w:sz w:val="32"/>
          <w:szCs w:val="32"/>
          <w:highlight w:val="none"/>
        </w:rPr>
        <w:t>”；</w:t>
      </w:r>
    </w:p>
    <w:p>
      <w:pPr>
        <w:pStyle w:val="2"/>
        <w:rPr>
          <w:rFonts w:hint="eastAsia"/>
          <w:highlight w:val="none"/>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三个课堂装修面积（平方米）</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指标，预期指标值为“</w:t>
      </w:r>
      <w:r>
        <w:rPr>
          <w:rFonts w:hint="eastAsia" w:ascii="仿宋_GB2312" w:hAnsi="仿宋_GB2312" w:eastAsia="仿宋_GB2312" w:cs="仿宋_GB2312"/>
          <w:b w:val="0"/>
          <w:bCs w:val="0"/>
          <w:sz w:val="32"/>
          <w:szCs w:val="32"/>
          <w:highlight w:val="none"/>
          <w:lang w:eastAsia="zh-CN"/>
        </w:rPr>
        <w:t>大于</w:t>
      </w:r>
      <w:r>
        <w:rPr>
          <w:rFonts w:hint="eastAsia" w:ascii="仿宋_GB2312" w:hAnsi="仿宋_GB2312" w:eastAsia="仿宋_GB2312" w:cs="仿宋_GB2312"/>
          <w:b w:val="0"/>
          <w:bCs w:val="0"/>
          <w:sz w:val="32"/>
          <w:szCs w:val="32"/>
          <w:highlight w:val="none"/>
        </w:rPr>
        <w:t>等于</w:t>
      </w:r>
      <w:r>
        <w:rPr>
          <w:rFonts w:hint="eastAsia" w:cs="仿宋_GB2312"/>
          <w:b w:val="0"/>
          <w:bCs w:val="0"/>
          <w:sz w:val="32"/>
          <w:szCs w:val="32"/>
          <w:highlight w:val="none"/>
          <w:lang w:val="en-US" w:eastAsia="zh-CN"/>
        </w:rPr>
        <w:t>86.8平方米</w:t>
      </w:r>
      <w:r>
        <w:rPr>
          <w:rFonts w:hint="eastAsia" w:ascii="仿宋_GB2312" w:hAnsi="仿宋_GB2312" w:eastAsia="仿宋_GB2312" w:cs="仿宋_GB2312"/>
          <w:b w:val="0"/>
          <w:bCs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②质量指标</w:t>
      </w:r>
    </w:p>
    <w:p>
      <w:pPr>
        <w:keepNext w:val="0"/>
        <w:keepLines w:val="0"/>
        <w:pageBreakBefore w:val="0"/>
        <w:widowControl w:val="0"/>
        <w:kinsoku/>
        <w:wordWrap/>
        <w:overflowPunct/>
        <w:topLinePunct w:val="0"/>
        <w:autoSpaceDE/>
        <w:autoSpaceDN/>
        <w:bidi w:val="0"/>
        <w:adjustRightInd/>
        <w:snapToGrid/>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“工程竣工验收合格率（%）”指标，预期指标值为“等于100%”；</w:t>
      </w:r>
    </w:p>
    <w:p>
      <w:pPr>
        <w:keepNext w:val="0"/>
        <w:keepLines w:val="0"/>
        <w:pageBreakBefore w:val="0"/>
        <w:widowControl w:val="0"/>
        <w:kinsoku/>
        <w:wordWrap/>
        <w:overflowPunct/>
        <w:topLinePunct w:val="0"/>
        <w:autoSpaceDE/>
        <w:autoSpaceDN/>
        <w:bidi w:val="0"/>
        <w:adjustRightInd/>
        <w:snapToGrid/>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③时效指标</w:t>
      </w:r>
    </w:p>
    <w:p>
      <w:pPr>
        <w:pStyle w:val="2"/>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kern w:val="2"/>
          <w:sz w:val="32"/>
          <w:szCs w:val="32"/>
          <w:highlight w:val="none"/>
          <w:lang w:val="en-US" w:eastAsia="zh-CN" w:bidi="ar-SA"/>
        </w:rPr>
        <w:t>项目资金支付及时率（%）”指标，预期指标值为“等于100%”；</w:t>
      </w:r>
    </w:p>
    <w:p>
      <w:pPr>
        <w:keepNext w:val="0"/>
        <w:keepLines w:val="0"/>
        <w:pageBreakBefore w:val="0"/>
        <w:widowControl w:val="0"/>
        <w:kinsoku/>
        <w:wordWrap/>
        <w:overflowPunct/>
        <w:topLinePunct w:val="0"/>
        <w:autoSpaceDE/>
        <w:autoSpaceDN/>
        <w:bidi w:val="0"/>
        <w:adjustRightInd/>
        <w:snapToGrid/>
        <w:spacing w:after="0" w:afterAutospacing="0" w:line="560" w:lineRule="exact"/>
        <w:ind w:left="0" w:leftChars="0" w:firstLine="64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“项目完成时限（年月日）”指标，预期指标值为“</w:t>
      </w:r>
      <w:r>
        <w:rPr>
          <w:rFonts w:hint="eastAsia" w:ascii="仿宋_GB2312" w:hAnsi="仿宋_GB2312" w:cs="仿宋_GB2312"/>
          <w:sz w:val="32"/>
          <w:szCs w:val="32"/>
          <w:highlight w:val="none"/>
          <w:lang w:eastAsia="zh-CN"/>
        </w:rPr>
        <w:t>2023</w:t>
      </w:r>
      <w:r>
        <w:rPr>
          <w:rFonts w:hint="eastAsia" w:ascii="仿宋_GB2312" w:hAnsi="仿宋_GB2312" w:eastAsia="仿宋_GB2312" w:cs="仿宋_GB2312"/>
          <w:sz w:val="32"/>
          <w:szCs w:val="32"/>
          <w:highlight w:val="none"/>
        </w:rPr>
        <w:t>年1</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月</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日前”；</w:t>
      </w:r>
    </w:p>
    <w:p>
      <w:pPr>
        <w:keepNext w:val="0"/>
        <w:keepLines w:val="0"/>
        <w:pageBreakBefore w:val="0"/>
        <w:widowControl w:val="0"/>
        <w:numPr>
          <w:ilvl w:val="0"/>
          <w:numId w:val="0"/>
        </w:numPr>
        <w:kinsoku/>
        <w:wordWrap/>
        <w:overflowPunct/>
        <w:topLinePunct w:val="0"/>
        <w:autoSpaceDE/>
        <w:autoSpaceDN/>
        <w:bidi w:val="0"/>
        <w:adjustRightInd/>
        <w:snapToGrid/>
        <w:spacing w:after="0" w:afterAutospacing="0" w:line="560" w:lineRule="exact"/>
        <w:ind w:left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项目成本指标</w:t>
      </w:r>
    </w:p>
    <w:p>
      <w:pPr>
        <w:keepNext w:val="0"/>
        <w:keepLines w:val="0"/>
        <w:pageBreakBefore w:val="0"/>
        <w:widowControl w:val="0"/>
        <w:numPr>
          <w:ilvl w:val="0"/>
          <w:numId w:val="0"/>
        </w:numPr>
        <w:kinsoku/>
        <w:wordWrap/>
        <w:overflowPunct/>
        <w:topLinePunct w:val="0"/>
        <w:autoSpaceDE/>
        <w:autoSpaceDN/>
        <w:bidi w:val="0"/>
        <w:adjustRightInd/>
        <w:snapToGrid/>
        <w:spacing w:after="0" w:afterAutospacing="0" w:line="560" w:lineRule="exact"/>
        <w:ind w:left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①经济成本指标</w:t>
      </w:r>
    </w:p>
    <w:p>
      <w:pPr>
        <w:pStyle w:val="2"/>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kern w:val="2"/>
          <w:sz w:val="32"/>
          <w:szCs w:val="32"/>
          <w:highlight w:val="none"/>
          <w:lang w:val="en-US" w:eastAsia="zh-CN" w:bidi="ar-SA"/>
        </w:rPr>
        <w:t>“学生宿舍粉刷资金（万元）”</w:t>
      </w:r>
      <w:r>
        <w:rPr>
          <w:rFonts w:hint="eastAsia" w:ascii="仿宋_GB2312" w:hAnsi="仿宋_GB2312" w:eastAsia="仿宋_GB2312" w:cs="仿宋_GB2312"/>
          <w:b w:val="0"/>
          <w:bCs w:val="0"/>
          <w:sz w:val="32"/>
          <w:szCs w:val="32"/>
          <w:highlight w:val="none"/>
        </w:rPr>
        <w:t>指标，预期指标值为“等于</w:t>
      </w:r>
      <w:r>
        <w:rPr>
          <w:rFonts w:hint="eastAsia" w:cs="仿宋_GB2312"/>
          <w:b w:val="0"/>
          <w:bCs w:val="0"/>
          <w:sz w:val="32"/>
          <w:szCs w:val="32"/>
          <w:highlight w:val="none"/>
          <w:lang w:val="en-US" w:eastAsia="zh-CN"/>
        </w:rPr>
        <w:t>25</w:t>
      </w:r>
      <w:r>
        <w:rPr>
          <w:rFonts w:hint="eastAsia" w:ascii="仿宋_GB2312" w:hAnsi="仿宋_GB2312" w:eastAsia="仿宋_GB2312" w:cs="仿宋_GB2312"/>
          <w:b w:val="0"/>
          <w:bCs w:val="0"/>
          <w:sz w:val="32"/>
          <w:szCs w:val="32"/>
          <w:highlight w:val="none"/>
        </w:rPr>
        <w:t>万元”；</w:t>
      </w:r>
    </w:p>
    <w:p>
      <w:pPr>
        <w:pStyle w:val="2"/>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kern w:val="2"/>
          <w:sz w:val="32"/>
          <w:szCs w:val="32"/>
          <w:highlight w:val="none"/>
          <w:lang w:val="en-US" w:eastAsia="zh-CN" w:bidi="ar-SA"/>
        </w:rPr>
        <w:t>“教室门窗把手更换维修资金（万元</w:t>
      </w:r>
      <w:r>
        <w:rPr>
          <w:rFonts w:hint="eastAsia" w:cs="仿宋_GB2312"/>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b w:val="0"/>
          <w:bCs w:val="0"/>
          <w:sz w:val="32"/>
          <w:szCs w:val="32"/>
          <w:highlight w:val="none"/>
        </w:rPr>
        <w:t>指标，预期指标值为“等于</w:t>
      </w:r>
      <w:r>
        <w:rPr>
          <w:rFonts w:hint="eastAsia"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万元”；</w:t>
      </w:r>
    </w:p>
    <w:p>
      <w:pPr>
        <w:pStyle w:val="2"/>
        <w:rPr>
          <w:rFonts w:hint="eastAsia"/>
          <w:highlight w:val="none"/>
        </w:rPr>
      </w:pPr>
      <w:r>
        <w:rPr>
          <w:rFonts w:hint="eastAsia" w:ascii="仿宋_GB2312" w:hAnsi="仿宋_GB2312" w:eastAsia="仿宋_GB2312" w:cs="仿宋_GB2312"/>
          <w:b w:val="0"/>
          <w:bCs w:val="0"/>
          <w:kern w:val="2"/>
          <w:sz w:val="32"/>
          <w:szCs w:val="32"/>
          <w:highlight w:val="none"/>
          <w:lang w:val="en-US" w:eastAsia="zh-CN" w:bidi="ar-SA"/>
        </w:rPr>
        <w:t>“三个课堂装修资金（万元）”</w:t>
      </w:r>
      <w:r>
        <w:rPr>
          <w:rFonts w:hint="eastAsia" w:ascii="仿宋_GB2312" w:hAnsi="仿宋_GB2312" w:eastAsia="仿宋_GB2312" w:cs="仿宋_GB2312"/>
          <w:b w:val="0"/>
          <w:bCs w:val="0"/>
          <w:sz w:val="32"/>
          <w:szCs w:val="32"/>
          <w:highlight w:val="none"/>
        </w:rPr>
        <w:t>指标，预期指标值为“等于</w:t>
      </w:r>
      <w:r>
        <w:rPr>
          <w:rFonts w:hint="eastAsia" w:cs="仿宋_GB2312"/>
          <w:b w:val="0"/>
          <w:bCs w:val="0"/>
          <w:sz w:val="32"/>
          <w:szCs w:val="32"/>
          <w:highlight w:val="none"/>
          <w:lang w:val="en-US" w:eastAsia="zh-CN"/>
        </w:rPr>
        <w:t>10</w:t>
      </w:r>
      <w:r>
        <w:rPr>
          <w:rFonts w:hint="eastAsia" w:ascii="仿宋_GB2312" w:hAnsi="仿宋_GB2312" w:eastAsia="仿宋_GB2312" w:cs="仿宋_GB2312"/>
          <w:b w:val="0"/>
          <w:bCs w:val="0"/>
          <w:sz w:val="32"/>
          <w:szCs w:val="32"/>
          <w:highlight w:val="none"/>
        </w:rPr>
        <w:t>万元”；</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（3）项目效益指标</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①经济效益指标</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无此项指标</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②社会效益指标</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“提高教学环境”指标，预期指标值为“有效提高”；</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③生态效益指标</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无此项指标</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（4）相关满意度目标</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“教师满意度（%）”指标，预期指标值为“大于等于95%”。</w:t>
      </w:r>
    </w:p>
    <w:p>
      <w:pPr>
        <w:pStyle w:val="2"/>
        <w:rPr>
          <w:rFonts w:hint="eastAsia"/>
          <w:b w:val="0"/>
          <w:bCs w:val="0"/>
          <w:highlight w:val="none"/>
        </w:rPr>
      </w:pPr>
      <w:r>
        <w:rPr>
          <w:rFonts w:hint="eastAsia" w:ascii="仿宋_GB2312" w:hAnsi="仿宋_GB2312" w:eastAsia="仿宋_GB2312" w:cs="仿宋_GB2312"/>
          <w:b w:val="0"/>
          <w:bCs w:val="0"/>
          <w:sz w:val="32"/>
          <w:szCs w:val="32"/>
          <w:highlight w:val="none"/>
        </w:rPr>
        <w:t>“学校</w:t>
      </w:r>
      <w:r>
        <w:rPr>
          <w:rFonts w:hint="eastAsia" w:cs="仿宋_GB2312"/>
          <w:b w:val="0"/>
          <w:bCs w:val="0"/>
          <w:sz w:val="32"/>
          <w:szCs w:val="32"/>
          <w:highlight w:val="none"/>
          <w:lang w:val="en-US" w:eastAsia="zh-CN"/>
        </w:rPr>
        <w:t>学生</w:t>
      </w:r>
      <w:r>
        <w:rPr>
          <w:rFonts w:hint="eastAsia" w:ascii="仿宋_GB2312" w:hAnsi="仿宋_GB2312" w:eastAsia="仿宋_GB2312" w:cs="仿宋_GB2312"/>
          <w:b w:val="0"/>
          <w:bCs w:val="0"/>
          <w:sz w:val="32"/>
          <w:szCs w:val="32"/>
          <w:highlight w:val="none"/>
        </w:rPr>
        <w:t>满意度（%）”指标，预期指标值为“大于等于9</w:t>
      </w:r>
      <w:r>
        <w:rPr>
          <w:rFonts w:hint="eastAsia" w:cs="仿宋_GB2312"/>
          <w:b w:val="0"/>
          <w:bCs w:val="0"/>
          <w:sz w:val="32"/>
          <w:szCs w:val="32"/>
          <w:highlight w:val="none"/>
          <w:lang w:val="en-US" w:eastAsia="zh-CN"/>
        </w:rPr>
        <w:t>6</w:t>
      </w:r>
      <w:r>
        <w:rPr>
          <w:rFonts w:hint="eastAsia" w:ascii="仿宋_GB2312" w:hAnsi="仿宋_GB2312" w:eastAsia="仿宋_GB2312" w:cs="仿宋_GB2312"/>
          <w:b w:val="0"/>
          <w:bCs w:val="0"/>
          <w:sz w:val="32"/>
          <w:szCs w:val="32"/>
          <w:highlight w:val="none"/>
        </w:rPr>
        <w:t>%”。</w:t>
      </w:r>
    </w:p>
    <w:p>
      <w:pPr>
        <w:pStyle w:val="3"/>
        <w:pageBreakBefore w:val="0"/>
        <w:widowControl w:val="0"/>
        <w:kinsoku/>
        <w:wordWrap/>
        <w:topLinePunct w:val="0"/>
        <w:autoSpaceDE/>
        <w:autoSpaceDN/>
        <w:bidi w:val="0"/>
        <w:spacing w:after="0" w:afterAutospacing="0" w:line="560" w:lineRule="exact"/>
        <w:ind w:left="0" w:leftChars="0" w:firstLine="640"/>
        <w:textAlignment w:val="auto"/>
        <w:rPr>
          <w:szCs w:val="32"/>
          <w:highlight w:val="none"/>
        </w:rPr>
      </w:pPr>
      <w:r>
        <w:rPr>
          <w:rFonts w:hint="eastAsia"/>
          <w:szCs w:val="32"/>
          <w:highlight w:val="none"/>
        </w:rPr>
        <w:t>二、绩效评价工作开展情况</w:t>
      </w:r>
    </w:p>
    <w:p>
      <w:pPr>
        <w:pStyle w:val="4"/>
        <w:pageBreakBefore w:val="0"/>
        <w:widowControl w:val="0"/>
        <w:numPr>
          <w:ilvl w:val="0"/>
          <w:numId w:val="3"/>
        </w:numPr>
        <w:kinsoku/>
        <w:wordWrap/>
        <w:topLinePunct w:val="0"/>
        <w:autoSpaceDE/>
        <w:autoSpaceDN/>
        <w:bidi w:val="0"/>
        <w:spacing w:after="0" w:afterAutospacing="0" w:line="560" w:lineRule="exact"/>
        <w:ind w:left="-83" w:leftChars="0" w:firstLine="643" w:firstLineChars="0"/>
        <w:textAlignment w:val="auto"/>
        <w:rPr>
          <w:rFonts w:ascii="楷体_GB2312" w:eastAsia="楷体_GB2312"/>
          <w:szCs w:val="32"/>
          <w:highlight w:val="none"/>
        </w:rPr>
      </w:pPr>
      <w:bookmarkStart w:id="0" w:name="_Toc26632"/>
      <w:bookmarkStart w:id="1" w:name="_Toc5258"/>
      <w:bookmarkStart w:id="2" w:name="_Toc480473081"/>
      <w:bookmarkStart w:id="3" w:name="_Toc12868"/>
      <w:bookmarkStart w:id="4" w:name="_Toc21664"/>
      <w:bookmarkStart w:id="5" w:name="_Toc22922"/>
      <w:bookmarkStart w:id="6" w:name="_Toc5462343"/>
      <w:bookmarkStart w:id="7" w:name="_Toc22169_WPSOffice_Level2"/>
      <w:r>
        <w:rPr>
          <w:rFonts w:hint="eastAsia" w:ascii="楷体_GB2312" w:eastAsia="楷体_GB2312"/>
          <w:szCs w:val="32"/>
          <w:highlight w:val="none"/>
        </w:rPr>
        <w:t>绩效评价的目的</w:t>
      </w:r>
      <w:bookmarkEnd w:id="0"/>
      <w:bookmarkEnd w:id="1"/>
      <w:bookmarkEnd w:id="2"/>
      <w:bookmarkEnd w:id="3"/>
      <w:bookmarkEnd w:id="4"/>
      <w:bookmarkEnd w:id="5"/>
      <w:bookmarkEnd w:id="6"/>
      <w:bookmarkEnd w:id="7"/>
      <w:r>
        <w:rPr>
          <w:rFonts w:hint="eastAsia" w:ascii="楷体_GB2312" w:eastAsia="楷体_GB2312"/>
          <w:szCs w:val="32"/>
          <w:highlight w:val="none"/>
        </w:rPr>
        <w:t>、对象和范围</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1.绩效评价的目的</w:t>
      </w:r>
    </w:p>
    <w:p>
      <w:pPr>
        <w:pageBreakBefore w:val="0"/>
        <w:widowControl w:val="0"/>
        <w:kinsoku/>
        <w:wordWrap/>
        <w:topLinePunct w:val="0"/>
        <w:autoSpaceDE/>
        <w:autoSpaceDN/>
        <w:bidi w:val="0"/>
        <w:spacing w:after="0" w:afterAutospacing="0" w:line="560" w:lineRule="exact"/>
        <w:ind w:left="0" w:leftChars="0" w:firstLine="640"/>
        <w:textAlignment w:val="auto"/>
        <w:rPr>
          <w:sz w:val="32"/>
          <w:szCs w:val="32"/>
          <w:highlight w:val="none"/>
        </w:rPr>
      </w:pPr>
      <w:r>
        <w:rPr>
          <w:rFonts w:hint="eastAsia" w:ascii="仿宋_GB2312" w:hAnsi="仿宋_GB2312" w:cs="仿宋_GB2312"/>
          <w:sz w:val="32"/>
          <w:szCs w:val="32"/>
          <w:highlight w:val="none"/>
        </w:rPr>
        <w:t>本次</w:t>
      </w:r>
      <w:r>
        <w:rPr>
          <w:rFonts w:hint="eastAsia"/>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2.绩效评价的对象和范围</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本次绩效评价遵循财政部</w:t>
      </w:r>
      <w:r>
        <w:rPr>
          <w:rFonts w:hint="eastAsia" w:ascii="仿宋_GB2312" w:hAnsi="Arial" w:cs="宋体"/>
          <w:bCs/>
          <w:color w:val="000000" w:themeColor="text1"/>
          <w:sz w:val="32"/>
          <w:szCs w:val="32"/>
          <w:highlight w:val="none"/>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highlight w:val="none"/>
          <w14:textFill>
            <w14:solidFill>
              <w14:schemeClr w14:val="tx1"/>
            </w14:solidFill>
          </w14:textFill>
        </w:rPr>
        <w:t>〔</w:t>
      </w:r>
      <w:r>
        <w:rPr>
          <w:rFonts w:hint="eastAsia" w:ascii="仿宋_GB2312" w:hAnsi="Arial" w:cs="宋体"/>
          <w:bCs/>
          <w:color w:val="000000" w:themeColor="text1"/>
          <w:sz w:val="32"/>
          <w:szCs w:val="32"/>
          <w:highlight w:val="none"/>
          <w14:textFill>
            <w14:solidFill>
              <w14:schemeClr w14:val="tx1"/>
            </w14:solidFill>
          </w14:textFill>
        </w:rPr>
        <w:t>2020</w:t>
      </w:r>
      <w:r>
        <w:rPr>
          <w:rFonts w:hint="eastAsia" w:ascii="仿宋_GB2312" w:hAnsi="微软雅黑" w:cs="微软雅黑"/>
          <w:bCs/>
          <w:color w:val="000000" w:themeColor="text1"/>
          <w:sz w:val="32"/>
          <w:szCs w:val="32"/>
          <w:highlight w:val="none"/>
          <w14:textFill>
            <w14:solidFill>
              <w14:schemeClr w14:val="tx1"/>
            </w14:solidFill>
          </w14:textFill>
        </w:rPr>
        <w:t>〕</w:t>
      </w:r>
      <w:r>
        <w:rPr>
          <w:rFonts w:hint="eastAsia" w:ascii="仿宋_GB2312" w:hAnsi="Arial" w:cs="宋体"/>
          <w:bCs/>
          <w:color w:val="000000" w:themeColor="text1"/>
          <w:sz w:val="32"/>
          <w:szCs w:val="32"/>
          <w:highlight w:val="none"/>
          <w14:textFill>
            <w14:solidFill>
              <w14:schemeClr w14:val="tx1"/>
            </w14:solidFill>
          </w14:textFill>
        </w:rPr>
        <w:t>10号）</w:t>
      </w:r>
      <w:r>
        <w:rPr>
          <w:rFonts w:hint="eastAsia" w:ascii="仿宋_GB2312" w:hAnsi="仿宋_GB2312" w:cs="仿宋_GB2312"/>
          <w:color w:val="000000" w:themeColor="text1"/>
          <w:sz w:val="32"/>
          <w:szCs w:val="32"/>
          <w:highlight w:val="none"/>
          <w14:textFill>
            <w14:solidFill>
              <w14:schemeClr w14:val="tx1"/>
            </w14:solidFill>
          </w14:textFill>
        </w:rPr>
        <w:t>以及自治区财政厅《自治区财政支出绩效评价管理暂行办法》（新财预〔2018〕189号）等文件规定，</w:t>
      </w:r>
      <w:r>
        <w:rPr>
          <w:rFonts w:hint="eastAsia" w:ascii="仿宋_GB2312"/>
          <w:color w:val="000000" w:themeColor="text1"/>
          <w:sz w:val="32"/>
          <w:szCs w:val="32"/>
          <w:highlight w:val="none"/>
          <w14:textFill>
            <w14:solidFill>
              <w14:schemeClr w14:val="tx1"/>
            </w14:solidFill>
          </w14:textFill>
        </w:rPr>
        <w:t>对</w:t>
      </w:r>
      <w:r>
        <w:rPr>
          <w:rFonts w:hint="eastAsia" w:ascii="仿宋_GB2312"/>
          <w:color w:val="000000" w:themeColor="text1"/>
          <w:sz w:val="32"/>
          <w:szCs w:val="32"/>
          <w:highlight w:val="none"/>
          <w:lang w:eastAsia="zh-CN"/>
          <w14:textFill>
            <w14:solidFill>
              <w14:schemeClr w14:val="tx1"/>
            </w14:solidFill>
          </w14:textFill>
        </w:rPr>
        <w:t>2023</w:t>
      </w:r>
      <w:r>
        <w:rPr>
          <w:rFonts w:hint="eastAsia" w:ascii="仿宋_GB2312"/>
          <w:color w:val="000000" w:themeColor="text1"/>
          <w:sz w:val="32"/>
          <w:szCs w:val="32"/>
          <w:highlight w:val="none"/>
          <w14:textFill>
            <w14:solidFill>
              <w14:schemeClr w14:val="tx1"/>
            </w14:solidFill>
          </w14:textFill>
        </w:rPr>
        <w:t>年度我单位实施的</w:t>
      </w:r>
      <w:r>
        <w:rPr>
          <w:rFonts w:hint="eastAsia" w:ascii="仿宋_GB2312" w:hAnsi="仿宋_GB2312" w:cs="仿宋_GB2312"/>
          <w:color w:val="000000" w:themeColor="text1"/>
          <w:sz w:val="32"/>
          <w:szCs w:val="32"/>
          <w:highlight w:val="none"/>
          <w14:textFill>
            <w14:solidFill>
              <w14:schemeClr w14:val="tx1"/>
            </w14:solidFill>
          </w14:textFill>
        </w:rPr>
        <w:t>城乡义务教育补助经费中央直达（校舍安全保障资金）项目（本项目的全称）开</w:t>
      </w:r>
      <w:r>
        <w:rPr>
          <w:rFonts w:hint="eastAsia" w:ascii="仿宋_GB2312"/>
          <w:color w:val="000000" w:themeColor="text1"/>
          <w:sz w:val="32"/>
          <w:szCs w:val="32"/>
          <w:highlight w:val="none"/>
          <w14:textFill>
            <w14:solidFill>
              <w14:schemeClr w14:val="tx1"/>
            </w14:solidFill>
          </w14:textFill>
        </w:rPr>
        <w:t>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widowControl w:val="0"/>
        <w:numPr>
          <w:ilvl w:val="0"/>
          <w:numId w:val="3"/>
        </w:numPr>
        <w:kinsoku/>
        <w:wordWrap/>
        <w:topLinePunct w:val="0"/>
        <w:autoSpaceDE/>
        <w:autoSpaceDN/>
        <w:bidi w:val="0"/>
        <w:spacing w:after="0" w:afterAutospacing="0" w:line="560" w:lineRule="exact"/>
        <w:ind w:left="-83" w:leftChars="0" w:firstLine="643" w:firstLineChars="0"/>
        <w:textAlignment w:val="auto"/>
        <w:rPr>
          <w:rFonts w:ascii="楷体_GB2312" w:eastAsia="楷体_GB2312"/>
          <w:szCs w:val="32"/>
          <w:highlight w:val="none"/>
        </w:rPr>
      </w:pPr>
      <w:r>
        <w:rPr>
          <w:rFonts w:hint="eastAsia" w:ascii="楷体_GB2312" w:eastAsia="楷体_GB2312"/>
          <w:szCs w:val="32"/>
          <w:highlight w:val="none"/>
        </w:rPr>
        <w:t>评价工作简述</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1.绩效评价原则</w:t>
      </w:r>
    </w:p>
    <w:p>
      <w:pPr>
        <w:pageBreakBefore w:val="0"/>
        <w:widowControl w:val="0"/>
        <w:kinsoku/>
        <w:wordWrap/>
        <w:topLinePunct w:val="0"/>
        <w:autoSpaceDE/>
        <w:autoSpaceDN/>
        <w:bidi w:val="0"/>
        <w:spacing w:after="0" w:afterAutospacing="0" w:line="560" w:lineRule="exact"/>
        <w:ind w:left="0" w:leftChars="0" w:firstLine="640"/>
        <w:textAlignment w:val="auto"/>
        <w:rPr>
          <w:sz w:val="32"/>
          <w:szCs w:val="32"/>
          <w:highlight w:val="none"/>
        </w:rPr>
      </w:pPr>
      <w:r>
        <w:rPr>
          <w:rFonts w:hint="eastAsia"/>
          <w:sz w:val="32"/>
          <w:szCs w:val="32"/>
          <w:highlight w:val="none"/>
        </w:rPr>
        <w:t>依据</w:t>
      </w:r>
      <w:r>
        <w:rPr>
          <w:rFonts w:hint="eastAsia" w:hAnsi="Arial" w:cs="宋体"/>
          <w:bCs/>
          <w:color w:val="000000"/>
          <w:sz w:val="32"/>
          <w:szCs w:val="32"/>
          <w:highlight w:val="none"/>
        </w:rPr>
        <w:t>《中华人民共和国预算法》、</w:t>
      </w:r>
      <w:r>
        <w:rPr>
          <w:rFonts w:hint="eastAsia" w:ascii="仿宋_GB2312" w:hAnsi="Arial" w:cs="宋体"/>
          <w:bCs/>
          <w:color w:val="000000"/>
          <w:sz w:val="32"/>
          <w:szCs w:val="32"/>
          <w:highlight w:val="none"/>
        </w:rPr>
        <w:t>《关于印发&lt;项目支出绩效评价管理办法&gt;的通知》（财预</w:t>
      </w:r>
      <w:r>
        <w:rPr>
          <w:rFonts w:hint="eastAsia" w:ascii="仿宋_GB2312" w:hAnsi="微软雅黑" w:cs="微软雅黑"/>
          <w:bCs/>
          <w:color w:val="000000"/>
          <w:sz w:val="32"/>
          <w:szCs w:val="32"/>
          <w:highlight w:val="none"/>
        </w:rPr>
        <w:t>〔</w:t>
      </w:r>
      <w:r>
        <w:rPr>
          <w:rFonts w:hint="eastAsia" w:ascii="仿宋_GB2312" w:hAnsi="Arial" w:cs="宋体"/>
          <w:bCs/>
          <w:color w:val="000000"/>
          <w:sz w:val="32"/>
          <w:szCs w:val="32"/>
          <w:highlight w:val="none"/>
        </w:rPr>
        <w:t>2020</w:t>
      </w:r>
      <w:r>
        <w:rPr>
          <w:rFonts w:hint="eastAsia" w:ascii="仿宋_GB2312" w:hAnsi="微软雅黑" w:cs="微软雅黑"/>
          <w:bCs/>
          <w:color w:val="000000"/>
          <w:sz w:val="32"/>
          <w:szCs w:val="32"/>
          <w:highlight w:val="none"/>
        </w:rPr>
        <w:t>〕</w:t>
      </w:r>
      <w:r>
        <w:rPr>
          <w:rFonts w:hint="eastAsia" w:ascii="仿宋_GB2312" w:hAnsi="Arial" w:cs="宋体"/>
          <w:bCs/>
          <w:color w:val="000000"/>
          <w:sz w:val="32"/>
          <w:szCs w:val="32"/>
          <w:highlight w:val="none"/>
        </w:rPr>
        <w:t>10号）</w:t>
      </w:r>
      <w:r>
        <w:rPr>
          <w:rFonts w:hint="eastAsia"/>
          <w:sz w:val="32"/>
          <w:szCs w:val="32"/>
          <w:highlight w:val="none"/>
        </w:rPr>
        <w:t>等法规和政策文件要求，本次绩效评价秉承科学规范、公正公开、分级分类、绩效相关等原则，按照从投入、过程到产出效果和影响的绩效逻辑路径，结合城乡义务教育补助经费中央直达（校舍安全保障资金）项目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after="0" w:afterAutospacing="0" w:line="560" w:lineRule="exact"/>
        <w:ind w:left="0" w:leftChars="0" w:firstLine="640"/>
        <w:textAlignment w:val="auto"/>
        <w:rPr>
          <w:sz w:val="32"/>
          <w:szCs w:val="32"/>
          <w:highlight w:val="none"/>
        </w:rPr>
      </w:pPr>
      <w:r>
        <w:rPr>
          <w:rFonts w:hint="eastAsia"/>
          <w:sz w:val="32"/>
          <w:szCs w:val="32"/>
          <w:highlight w:val="none"/>
        </w:rPr>
        <w:t>根据以上原则，绩效评价遵循如下具体要求：</w:t>
      </w:r>
    </w:p>
    <w:p>
      <w:pPr>
        <w:pageBreakBefore w:val="0"/>
        <w:widowControl w:val="0"/>
        <w:kinsoku/>
        <w:wordWrap/>
        <w:topLinePunct w:val="0"/>
        <w:autoSpaceDE/>
        <w:autoSpaceDN/>
        <w:bidi w:val="0"/>
        <w:spacing w:after="0" w:afterAutospacing="0" w:line="560" w:lineRule="exact"/>
        <w:ind w:left="0" w:leftChars="0" w:firstLine="640"/>
        <w:textAlignment w:val="auto"/>
        <w:rPr>
          <w:sz w:val="32"/>
          <w:szCs w:val="32"/>
          <w:highlight w:val="none"/>
        </w:rPr>
      </w:pPr>
      <w:r>
        <w:rPr>
          <w:rFonts w:hint="eastAsia" w:ascii="仿宋_GB2312"/>
          <w:sz w:val="32"/>
          <w:szCs w:val="32"/>
          <w:highlight w:val="none"/>
        </w:rPr>
        <w:t>（1）</w:t>
      </w:r>
      <w:r>
        <w:rPr>
          <w:rFonts w:hint="eastAsia"/>
          <w:sz w:val="32"/>
          <w:szCs w:val="32"/>
          <w:highlight w:val="none"/>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sz w:val="32"/>
          <w:szCs w:val="32"/>
          <w:highlight w:val="none"/>
        </w:rPr>
      </w:pPr>
      <w:r>
        <w:rPr>
          <w:rFonts w:hint="eastAsia" w:ascii="仿宋_GB2312"/>
          <w:sz w:val="32"/>
          <w:szCs w:val="32"/>
          <w:highlight w:val="none"/>
        </w:rPr>
        <w:t>（2）保证评价结果的真实性、公正性，提高评价报告的公信力。</w:t>
      </w:r>
    </w:p>
    <w:p>
      <w:pPr>
        <w:pageBreakBefore w:val="0"/>
        <w:widowControl w:val="0"/>
        <w:kinsoku/>
        <w:wordWrap/>
        <w:topLinePunct w:val="0"/>
        <w:autoSpaceDE/>
        <w:autoSpaceDN/>
        <w:bidi w:val="0"/>
        <w:spacing w:after="0" w:afterAutospacing="0" w:line="560" w:lineRule="exact"/>
        <w:ind w:left="0" w:leftChars="0" w:firstLine="640"/>
        <w:textAlignment w:val="auto"/>
        <w:rPr>
          <w:sz w:val="32"/>
          <w:szCs w:val="32"/>
          <w:highlight w:val="none"/>
        </w:rPr>
      </w:pPr>
      <w:r>
        <w:rPr>
          <w:rFonts w:hint="eastAsia" w:ascii="仿宋_GB2312"/>
          <w:sz w:val="32"/>
          <w:szCs w:val="32"/>
          <w:highlight w:val="none"/>
        </w:rPr>
        <w:t>（3）</w:t>
      </w:r>
      <w:r>
        <w:rPr>
          <w:rFonts w:hint="eastAsia"/>
          <w:sz w:val="32"/>
          <w:szCs w:val="32"/>
          <w:highlight w:val="none"/>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bookmarkStart w:id="8" w:name="_Toc428278230"/>
      <w:bookmarkStart w:id="9" w:name="_Toc26131"/>
      <w:bookmarkStart w:id="10" w:name="_Toc1913"/>
      <w:bookmarkStart w:id="11" w:name="_Toc419984722"/>
      <w:r>
        <w:rPr>
          <w:rFonts w:hint="eastAsia" w:ascii="仿宋_GB2312" w:hAnsi="仿宋_GB2312" w:cs="仿宋_GB2312"/>
          <w:b/>
          <w:bCs/>
          <w:color w:val="000000" w:themeColor="text1"/>
          <w:sz w:val="32"/>
          <w:szCs w:val="32"/>
          <w14:textFill>
            <w14:solidFill>
              <w14:schemeClr w14:val="tx1"/>
            </w14:solidFill>
          </w14:textFill>
        </w:rPr>
        <w:t>2.绩效评价指标体系及绩效评价</w:t>
      </w:r>
      <w:bookmarkEnd w:id="8"/>
      <w:bookmarkEnd w:id="9"/>
      <w:bookmarkEnd w:id="10"/>
      <w:bookmarkEnd w:id="11"/>
      <w:r>
        <w:rPr>
          <w:rFonts w:hint="eastAsia" w:ascii="仿宋_GB2312" w:hAnsi="仿宋_GB2312" w:cs="仿宋_GB2312"/>
          <w:b/>
          <w:bCs/>
          <w:color w:val="000000" w:themeColor="text1"/>
          <w:sz w:val="32"/>
          <w:szCs w:val="32"/>
          <w14:textFill>
            <w14:solidFill>
              <w14:schemeClr w14:val="tx1"/>
            </w14:solidFill>
          </w14:textFill>
        </w:rPr>
        <w:t>标准</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绩效评价指标体系根据财政部</w:t>
      </w:r>
      <w:r>
        <w:rPr>
          <w:rFonts w:hint="eastAsia" w:ascii="仿宋_GB2312" w:hAnsi="Arial" w:cs="宋体"/>
          <w:bCs/>
          <w:color w:val="000000" w:themeColor="text1"/>
          <w:sz w:val="32"/>
          <w:szCs w:val="32"/>
          <w:highlight w:val="none"/>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highlight w:val="none"/>
          <w14:textFill>
            <w14:solidFill>
              <w14:schemeClr w14:val="tx1"/>
            </w14:solidFill>
          </w14:textFill>
        </w:rPr>
        <w:t>〔</w:t>
      </w:r>
      <w:r>
        <w:rPr>
          <w:rFonts w:hint="eastAsia" w:ascii="仿宋_GB2312" w:hAnsi="Arial" w:cs="宋体"/>
          <w:bCs/>
          <w:color w:val="000000" w:themeColor="text1"/>
          <w:sz w:val="32"/>
          <w:szCs w:val="32"/>
          <w:highlight w:val="none"/>
          <w14:textFill>
            <w14:solidFill>
              <w14:schemeClr w14:val="tx1"/>
            </w14:solidFill>
          </w14:textFill>
        </w:rPr>
        <w:t>2020</w:t>
      </w:r>
      <w:r>
        <w:rPr>
          <w:rFonts w:hint="eastAsia" w:ascii="仿宋_GB2312" w:hAnsi="微软雅黑" w:cs="微软雅黑"/>
          <w:bCs/>
          <w:color w:val="000000" w:themeColor="text1"/>
          <w:sz w:val="32"/>
          <w:szCs w:val="32"/>
          <w:highlight w:val="none"/>
          <w14:textFill>
            <w14:solidFill>
              <w14:schemeClr w14:val="tx1"/>
            </w14:solidFill>
          </w14:textFill>
        </w:rPr>
        <w:t>〕</w:t>
      </w:r>
      <w:r>
        <w:rPr>
          <w:rFonts w:hint="eastAsia" w:ascii="仿宋_GB2312" w:hAnsi="Arial" w:cs="宋体"/>
          <w:bCs/>
          <w:color w:val="000000" w:themeColor="text1"/>
          <w:sz w:val="32"/>
          <w:szCs w:val="32"/>
          <w:highlight w:val="none"/>
          <w14:textFill>
            <w14:solidFill>
              <w14:schemeClr w14:val="tx1"/>
            </w14:solidFill>
          </w14:textFill>
        </w:rPr>
        <w:t>10号）、</w:t>
      </w:r>
      <w:r>
        <w:rPr>
          <w:rFonts w:hint="eastAsia" w:ascii="仿宋_GB2312" w:hAnsi="仿宋_GB2312" w:cs="仿宋_GB2312"/>
          <w:color w:val="000000" w:themeColor="text1"/>
          <w:sz w:val="32"/>
          <w:szCs w:val="32"/>
          <w:highlight w:val="none"/>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highlight w:val="none"/>
          <w14:textFill>
            <w14:solidFill>
              <w14:schemeClr w14:val="tx1"/>
            </w14:solidFill>
          </w14:textFill>
        </w:rPr>
        <w:t>等文件要求，结合本项目特点，在与专家组充分协商的基础上，评价工作组细化了该项目的绩效评价指标体系（详见附表1）：</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一级指标为：决策、过程、产出、成本、效益。</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二级指标为：项目立项、绩效目标、资金投入、资金管理、组织实施、产出数量、产出质量、产出时效、产出成本、实施效益、满意度。</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产出数量指标完成率、质量达标率、项目完成及时率、成本控制率、项目实施所产生的效益、服务对象满意度。</w:t>
      </w:r>
    </w:p>
    <w:p>
      <w:pPr>
        <w:pageBreakBefore w:val="0"/>
        <w:widowControl w:val="0"/>
        <w:kinsoku/>
        <w:wordWrap/>
        <w:topLinePunct w:val="0"/>
        <w:autoSpaceDE/>
        <w:autoSpaceDN/>
        <w:bidi w:val="0"/>
        <w:spacing w:after="0" w:afterAutospacing="0" w:line="560" w:lineRule="exact"/>
        <w:ind w:left="0" w:leftChars="0" w:firstLine="643"/>
        <w:textAlignment w:val="auto"/>
        <w:rPr>
          <w:b/>
          <w:bCs/>
          <w:sz w:val="32"/>
          <w:szCs w:val="32"/>
          <w:highlight w:val="none"/>
        </w:rPr>
      </w:pPr>
      <w:r>
        <w:rPr>
          <w:rFonts w:hint="eastAsia" w:ascii="仿宋_GB2312" w:hAnsi="仿宋_GB2312" w:cs="仿宋_GB2312"/>
          <w:b/>
          <w:bCs/>
          <w:color w:val="000000" w:themeColor="text1"/>
          <w:sz w:val="32"/>
          <w:szCs w:val="32"/>
          <w14:textFill>
            <w14:solidFill>
              <w14:schemeClr w14:val="tx1"/>
            </w14:solidFill>
          </w14:textFill>
        </w:rPr>
        <w:t>3.评价方法</w:t>
      </w:r>
    </w:p>
    <w:p>
      <w:pPr>
        <w:pStyle w:val="22"/>
        <w:pageBreakBefore w:val="0"/>
        <w:widowControl w:val="0"/>
        <w:tabs>
          <w:tab w:val="left" w:pos="1559"/>
        </w:tabs>
        <w:kinsoku/>
        <w:wordWrap/>
        <w:topLinePunct w:val="0"/>
        <w:autoSpaceDE/>
        <w:autoSpaceDN/>
        <w:bidi w:val="0"/>
        <w:adjustRightInd w:val="0"/>
        <w:snapToGrid w:val="0"/>
        <w:spacing w:after="0" w:afterAutospacing="0" w:line="560" w:lineRule="exact"/>
        <w:ind w:left="0" w:leftChars="0" w:firstLine="640"/>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after="0" w:afterAutospacing="0" w:line="560" w:lineRule="exact"/>
        <w:ind w:left="0" w:leftChars="0" w:firstLine="640"/>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widowControl w:val="0"/>
        <w:tabs>
          <w:tab w:val="left" w:pos="1559"/>
        </w:tabs>
        <w:kinsoku/>
        <w:wordWrap/>
        <w:topLinePunct w:val="0"/>
        <w:autoSpaceDE/>
        <w:autoSpaceDN/>
        <w:bidi w:val="0"/>
        <w:adjustRightInd w:val="0"/>
        <w:snapToGrid w:val="0"/>
        <w:spacing w:after="0" w:afterAutospacing="0" w:line="560" w:lineRule="exact"/>
        <w:ind w:left="0" w:leftChars="0" w:firstLine="640"/>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after="0" w:afterAutospacing="0" w:line="560" w:lineRule="exact"/>
        <w:ind w:left="0" w:leftChars="0" w:firstLine="643"/>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4.评价标准</w:t>
      </w:r>
    </w:p>
    <w:p>
      <w:pPr>
        <w:pageBreakBefore w:val="0"/>
        <w:widowControl w:val="0"/>
        <w:kinsoku/>
        <w:wordWrap/>
        <w:topLinePunct w:val="0"/>
        <w:autoSpaceDE/>
        <w:autoSpaceDN/>
        <w:bidi w:val="0"/>
        <w:spacing w:after="0" w:afterAutospacing="0" w:line="560" w:lineRule="exact"/>
        <w:ind w:left="0" w:leftChars="0" w:firstLine="640"/>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pageBreakBefore w:val="0"/>
        <w:widowControl w:val="0"/>
        <w:kinsoku/>
        <w:wordWrap/>
        <w:topLinePunct w:val="0"/>
        <w:autoSpaceDE/>
        <w:autoSpaceDN/>
        <w:bidi w:val="0"/>
        <w:spacing w:after="0" w:afterAutospacing="0" w:line="560" w:lineRule="exact"/>
        <w:ind w:left="0" w:leftChars="0" w:firstLine="643" w:firstLineChars="200"/>
        <w:textAlignment w:val="auto"/>
        <w:rPr>
          <w:szCs w:val="32"/>
        </w:rPr>
      </w:pPr>
      <w:r>
        <w:rPr>
          <w:rFonts w:hint="eastAsia"/>
          <w:szCs w:val="32"/>
        </w:rPr>
        <w:t>（三）绩效评价工作过程</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lang w:val="en-US" w:eastAsia="zh-CN"/>
        </w:rPr>
        <w:t>蒲小健</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lang w:val="en-US" w:eastAsia="zh-CN"/>
        </w:rPr>
        <w:t>哈依拉提</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lang w:val="en-US" w:eastAsia="zh-CN"/>
        </w:rPr>
        <w:t>那吾兰</w:t>
      </w:r>
      <w:r>
        <w:rPr>
          <w:rFonts w:hint="eastAsia" w:ascii="仿宋_GB2312" w:hAnsi="仿宋_GB2312" w:cs="仿宋_GB2312"/>
          <w:sz w:val="32"/>
          <w:szCs w:val="32"/>
        </w:rPr>
        <w:t>、</w:t>
      </w:r>
      <w:r>
        <w:rPr>
          <w:rFonts w:hint="eastAsia" w:ascii="仿宋_GB2312" w:hAnsi="仿宋_GB2312" w:cs="仿宋_GB2312"/>
          <w:sz w:val="32"/>
          <w:szCs w:val="32"/>
          <w:lang w:val="en-US" w:eastAsia="zh-CN"/>
        </w:rPr>
        <w:t>马伟</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4"/>
        </w:numPr>
        <w:kinsoku/>
        <w:wordWrap/>
        <w:topLinePunct w:val="0"/>
        <w:autoSpaceDE/>
        <w:autoSpaceDN/>
        <w:bidi w:val="0"/>
        <w:spacing w:after="0" w:afterAutospacing="0" w:line="560" w:lineRule="exact"/>
        <w:ind w:left="0" w:leftChars="0" w:firstLine="640"/>
        <w:textAlignment w:val="auto"/>
        <w:rPr>
          <w:szCs w:val="32"/>
        </w:rPr>
      </w:pPr>
      <w:r>
        <w:rPr>
          <w:rFonts w:hint="eastAsia"/>
          <w:szCs w:val="32"/>
        </w:rPr>
        <w:t>综合评价情况及评价结论</w:t>
      </w:r>
    </w:p>
    <w:p>
      <w:pPr>
        <w:pStyle w:val="23"/>
        <w:pageBreakBefore w:val="0"/>
        <w:widowControl w:val="0"/>
        <w:kinsoku/>
        <w:wordWrap/>
        <w:topLinePunct w:val="0"/>
        <w:autoSpaceDE/>
        <w:autoSpaceDN/>
        <w:bidi w:val="0"/>
        <w:spacing w:before="0" w:after="0" w:afterAutospacing="0" w:line="560" w:lineRule="exact"/>
        <w:ind w:left="0" w:leftChars="0" w:firstLine="643" w:firstLineChars="200"/>
        <w:textAlignment w:val="auto"/>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sz w:val="32"/>
          <w:szCs w:val="32"/>
          <w:highlight w:val="none"/>
        </w:rPr>
      </w:pPr>
      <w:r>
        <w:rPr>
          <w:rFonts w:hint="eastAsia" w:ascii="仿宋_GB2312"/>
          <w:sz w:val="32"/>
          <w:szCs w:val="32"/>
          <w:highlight w:val="none"/>
        </w:rPr>
        <w:t>通过城乡义务教育补助经费中央直达（校舍安全保障资金）项目（填写项目全称）的实施，解决了学校所存在的安全隐患</w:t>
      </w:r>
      <w:r>
        <w:rPr>
          <w:rFonts w:hint="eastAsia" w:ascii="仿宋_GB2312"/>
          <w:color w:val="000000" w:themeColor="text1"/>
          <w:sz w:val="32"/>
          <w:szCs w:val="32"/>
          <w:highlight w:val="none"/>
          <w14:textFill>
            <w14:solidFill>
              <w14:schemeClr w14:val="tx1"/>
            </w14:solidFill>
          </w14:textFill>
        </w:rPr>
        <w:t>问题，</w:t>
      </w:r>
      <w:r>
        <w:rPr>
          <w:rFonts w:hint="eastAsia" w:ascii="仿宋_GB2312"/>
          <w:sz w:val="32"/>
          <w:szCs w:val="32"/>
          <w:highlight w:val="none"/>
        </w:rPr>
        <w:t>实现了优美的校园文化环境，为师生创造了一个良好的教育教学环境和生活环境</w:t>
      </w:r>
      <w:r>
        <w:rPr>
          <w:rFonts w:hint="eastAsia" w:ascii="仿宋_GB2312"/>
          <w:color w:val="000000" w:themeColor="text1"/>
          <w:sz w:val="32"/>
          <w:szCs w:val="32"/>
          <w:highlight w:val="none"/>
          <w14:textFill>
            <w14:solidFill>
              <w14:schemeClr w14:val="tx1"/>
            </w14:solidFill>
          </w14:textFill>
        </w:rPr>
        <w:t>效益，</w:t>
      </w:r>
      <w:r>
        <w:rPr>
          <w:rFonts w:hint="eastAsia" w:ascii="仿宋_GB2312"/>
          <w:sz w:val="32"/>
          <w:szCs w:val="32"/>
          <w:highlight w:val="none"/>
        </w:rPr>
        <w:t>该项目预算执行率达100</w:t>
      </w:r>
      <w:r>
        <w:rPr>
          <w:rFonts w:ascii="仿宋_GB2312"/>
          <w:sz w:val="32"/>
          <w:szCs w:val="32"/>
          <w:highlight w:val="none"/>
        </w:rPr>
        <w:t>%</w:t>
      </w:r>
      <w:r>
        <w:rPr>
          <w:rFonts w:hint="eastAsia" w:ascii="仿宋_GB2312"/>
          <w:sz w:val="32"/>
          <w:szCs w:val="32"/>
          <w:highlight w:val="none"/>
        </w:rPr>
        <w:t>，项目预期绩效目标及各项具体指标均已全部达成。</w:t>
      </w:r>
    </w:p>
    <w:p>
      <w:pPr>
        <w:pStyle w:val="23"/>
        <w:pageBreakBefore w:val="0"/>
        <w:widowControl w:val="0"/>
        <w:kinsoku/>
        <w:wordWrap/>
        <w:topLinePunct w:val="0"/>
        <w:autoSpaceDE/>
        <w:autoSpaceDN/>
        <w:bidi w:val="0"/>
        <w:spacing w:before="0" w:after="0" w:afterAutospacing="0" w:line="560" w:lineRule="exact"/>
        <w:ind w:left="0" w:leftChars="0" w:firstLine="643" w:firstLineChars="200"/>
        <w:textAlignment w:val="auto"/>
        <w:rPr>
          <w:rFonts w:ascii="仿宋_GB2312" w:hAnsi="仿宋_GB2312" w:cs="仿宋_GB2312"/>
          <w:sz w:val="32"/>
          <w:highlight w:val="none"/>
        </w:rPr>
      </w:pPr>
      <w:r>
        <w:rPr>
          <w:rFonts w:hint="eastAsia" w:ascii="仿宋_GB2312" w:hAnsi="仿宋_GB2312" w:cs="仿宋_GB2312"/>
          <w:sz w:val="32"/>
          <w:highlight w:val="none"/>
        </w:rPr>
        <w:t>（二）综合评价结论</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bCs/>
          <w:sz w:val="32"/>
          <w:szCs w:val="32"/>
          <w:highlight w:val="none"/>
        </w:rPr>
      </w:pPr>
      <w:r>
        <w:rPr>
          <w:rFonts w:hint="eastAsia" w:ascii="仿宋_GB2312" w:hAnsi="仿宋_GB2312" w:cs="仿宋_GB2312"/>
          <w:bCs/>
          <w:sz w:val="32"/>
          <w:szCs w:val="32"/>
          <w:highlight w:val="none"/>
        </w:rPr>
        <w:t>本次评价采取定量与定性评价相结合的方式，对城乡义务教育补助经费中央直达（校舍安全保障资金）项目</w:t>
      </w:r>
      <w:r>
        <w:rPr>
          <w:rFonts w:hint="eastAsia" w:ascii="仿宋_GB2312"/>
          <w:sz w:val="32"/>
          <w:szCs w:val="32"/>
          <w:highlight w:val="none"/>
        </w:rPr>
        <w:t>的绩效目标和各项具体绩效指标实现情况进行了客观评价，最终评分为100</w:t>
      </w:r>
      <w:r>
        <w:rPr>
          <w:rFonts w:hint="eastAsia" w:ascii="仿宋_GB2312"/>
          <w:color w:val="000000" w:themeColor="text1"/>
          <w:sz w:val="32"/>
          <w:szCs w:val="32"/>
          <w:highlight w:val="none"/>
          <w14:textFill>
            <w14:solidFill>
              <w14:schemeClr w14:val="tx1"/>
            </w14:solidFill>
          </w14:textFill>
        </w:rPr>
        <w:t>分。</w:t>
      </w:r>
      <w:r>
        <w:rPr>
          <w:rFonts w:hint="eastAsia"/>
          <w:sz w:val="30"/>
          <w:szCs w:val="30"/>
          <w:highlight w:val="none"/>
        </w:rPr>
        <w:t>绩效评级为</w:t>
      </w:r>
      <w:r>
        <w:rPr>
          <w:rFonts w:hint="eastAsia" w:ascii="仿宋_GB2312" w:hAnsi="仿宋_GB2312" w:cs="仿宋_GB2312"/>
          <w:bCs/>
          <w:sz w:val="32"/>
          <w:szCs w:val="32"/>
          <w:highlight w:val="none"/>
        </w:rPr>
        <w:t>“优”，具体得分情况为：项目决策15分、项目过程15分、项目产出40分、项目效益20分、项目满意度10分。</w:t>
      </w:r>
    </w:p>
    <w:p>
      <w:pPr>
        <w:pStyle w:val="3"/>
        <w:pageBreakBefore w:val="0"/>
        <w:widowControl w:val="0"/>
        <w:kinsoku/>
        <w:wordWrap/>
        <w:topLinePunct w:val="0"/>
        <w:autoSpaceDE/>
        <w:autoSpaceDN/>
        <w:bidi w:val="0"/>
        <w:spacing w:after="0" w:afterAutospacing="0" w:line="560" w:lineRule="exact"/>
        <w:ind w:left="0" w:leftChars="0" w:firstLine="640"/>
        <w:textAlignment w:val="auto"/>
        <w:rPr>
          <w:szCs w:val="32"/>
          <w:highlight w:val="none"/>
        </w:rPr>
      </w:pPr>
      <w:r>
        <w:rPr>
          <w:rFonts w:hint="eastAsia"/>
          <w:szCs w:val="32"/>
          <w:highlight w:val="none"/>
        </w:rPr>
        <w:t>四、绩效评价指标分析</w:t>
      </w:r>
    </w:p>
    <w:p>
      <w:pPr>
        <w:pStyle w:val="4"/>
        <w:pageBreakBefore w:val="0"/>
        <w:widowControl w:val="0"/>
        <w:kinsoku/>
        <w:wordWrap/>
        <w:topLinePunct w:val="0"/>
        <w:autoSpaceDE/>
        <w:autoSpaceDN/>
        <w:bidi w:val="0"/>
        <w:spacing w:after="0" w:afterAutospacing="0" w:line="560" w:lineRule="exact"/>
        <w:ind w:left="0" w:leftChars="0" w:firstLine="643"/>
        <w:textAlignment w:val="auto"/>
        <w:rPr>
          <w:rFonts w:ascii="楷体_GB2312" w:eastAsia="楷体_GB2312"/>
          <w:szCs w:val="32"/>
          <w:highlight w:val="none"/>
        </w:rPr>
      </w:pPr>
      <w:r>
        <w:rPr>
          <w:rFonts w:hint="eastAsia" w:ascii="楷体_GB2312" w:eastAsia="楷体_GB2312"/>
          <w:szCs w:val="32"/>
          <w:highlight w:val="none"/>
        </w:rPr>
        <w:t>（一）项目决策情况</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ascii="仿宋_GB2312" w:hAnsi="仿宋_GB2312" w:cs="仿宋_GB2312"/>
          <w:sz w:val="32"/>
          <w:szCs w:val="32"/>
          <w:highlight w:val="none"/>
        </w:rPr>
      </w:pPr>
      <w:r>
        <w:rPr>
          <w:rFonts w:hint="eastAsia" w:ascii="仿宋_GB2312" w:hAnsi="仿宋_GB2312" w:cs="仿宋_GB2312"/>
          <w:sz w:val="32"/>
          <w:szCs w:val="32"/>
          <w:highlight w:val="none"/>
        </w:rPr>
        <w:t>项目决策类指标从项目立项、绩效目标和资金投入三个方面评价项目前期准备工作，权重分值为 15 分，本项目实际得分15分，得分率为100%。具体各项指标得分如下：</w:t>
      </w:r>
    </w:p>
    <w:p>
      <w:pPr>
        <w:pStyle w:val="24"/>
        <w:pageBreakBefore w:val="0"/>
        <w:widowControl w:val="0"/>
        <w:kinsoku/>
        <w:wordWrap/>
        <w:topLinePunct w:val="0"/>
        <w:autoSpaceDE/>
        <w:autoSpaceDN/>
        <w:bidi w:val="0"/>
        <w:spacing w:after="0" w:afterAutospacing="0" w:line="560" w:lineRule="exact"/>
        <w:ind w:left="0" w:leftChars="0" w:firstLine="736"/>
        <w:textAlignment w:val="auto"/>
        <w:rPr>
          <w:rFonts w:cs="仿宋_GB2312"/>
          <w:color w:val="FF0000"/>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1.立项依据充分性：</w:t>
      </w:r>
      <w:r>
        <w:rPr>
          <w:rFonts w:hint="eastAsia" w:hAnsi="仿宋_GB2312" w:cs="仿宋_GB2312"/>
          <w:color w:val="auto"/>
          <w:spacing w:val="0"/>
          <w:highlight w:val="none"/>
        </w:rPr>
        <w:t>本项目是由沙湾市教育和科学技术局单位提出申报，于</w:t>
      </w:r>
      <w:r>
        <w:rPr>
          <w:rFonts w:hint="eastAsia" w:hAnsi="仿宋_GB2312" w:cs="仿宋_GB2312"/>
          <w:color w:val="auto"/>
          <w:spacing w:val="0"/>
          <w:highlight w:val="none"/>
          <w:lang w:eastAsia="zh-CN"/>
        </w:rPr>
        <w:t>2023</w:t>
      </w:r>
      <w:r>
        <w:rPr>
          <w:rFonts w:hint="eastAsia" w:hAnsi="仿宋_GB2312" w:cs="仿宋_GB2312"/>
          <w:color w:val="auto"/>
          <w:spacing w:val="0"/>
          <w:highlight w:val="none"/>
        </w:rPr>
        <w:t>年2月批复设立，</w:t>
      </w:r>
      <w:r>
        <w:rPr>
          <w:rFonts w:hint="eastAsia" w:hAnsi="仿宋_GB2312" w:cs="仿宋_GB2312"/>
          <w:color w:val="auto"/>
          <w:spacing w:val="0"/>
          <w:highlight w:val="none"/>
          <w:lang w:eastAsia="zh-CN"/>
        </w:rPr>
        <w:t>2023</w:t>
      </w:r>
      <w:r>
        <w:rPr>
          <w:rFonts w:hint="eastAsia" w:hAnsi="仿宋_GB2312" w:cs="仿宋_GB2312"/>
          <w:color w:val="auto"/>
          <w:spacing w:val="0"/>
          <w:highlight w:val="none"/>
        </w:rPr>
        <w:t>年我单位根据《城乡义务教育补助经费中央直达[校舍安全保障资金)文件》塔地财教[2022]54号（文件号）文件要求组织实施该项目。项目立项符合国家法律法规、自治区和地区行业发展规划和政策要求，属于本部门履职所需。根据评分标准，该指标2.5分，得2.5分。</w:t>
      </w:r>
    </w:p>
    <w:p>
      <w:pPr>
        <w:pageBreakBefore w:val="0"/>
        <w:widowControl w:val="0"/>
        <w:kinsoku/>
        <w:wordWrap/>
        <w:topLinePunct w:val="0"/>
        <w:autoSpaceDE/>
        <w:autoSpaceDN/>
        <w:bidi w:val="0"/>
        <w:spacing w:after="0" w:afterAutospacing="0" w:line="560" w:lineRule="exact"/>
        <w:ind w:left="0" w:leftChars="0" w:firstLine="562"/>
        <w:textAlignment w:val="auto"/>
        <w:rPr>
          <w:rFonts w:hint="eastAsia" w:ascii="仿宋_GB2312" w:hAnsi="仿宋_GB2312" w:eastAsia="仿宋_GB2312" w:cs="仿宋_GB2312"/>
          <w:color w:val="auto"/>
          <w:spacing w:val="0"/>
          <w:kern w:val="2"/>
          <w:sz w:val="32"/>
          <w:szCs w:val="32"/>
          <w:highlight w:val="none"/>
          <w:lang w:val="en-US" w:eastAsia="zh-CN" w:bidi="ar-SA"/>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2.立项程序规范性：</w:t>
      </w:r>
      <w:r>
        <w:rPr>
          <w:rFonts w:hint="eastAsia" w:ascii="仿宋_GB2312" w:hAnsi="仿宋_GB2312" w:eastAsia="仿宋_GB2312" w:cs="仿宋_GB2312"/>
          <w:color w:val="auto"/>
          <w:spacing w:val="0"/>
          <w:kern w:val="2"/>
          <w:sz w:val="32"/>
          <w:szCs w:val="32"/>
          <w:highlight w:val="none"/>
          <w:lang w:val="en-US" w:eastAsia="zh-CN" w:bidi="ar-SA"/>
        </w:rPr>
        <w:t>根据决策依据编制工作计划和经费预算，经过与部门分管领导进行沟通、筛选确定经费预算计划，教科局确定最终预算方案。根据评分标准，该指标2.5分，得2.5分。</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hAnsi="仿宋_GB2312" w:cs="仿宋_GB2312"/>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3.绩效目标合理性：</w:t>
      </w:r>
      <w:r>
        <w:rPr>
          <w:rFonts w:hint="eastAsia" w:ascii="仿宋_GB2312" w:hAnsi="仿宋_GB2312" w:eastAsia="仿宋_GB2312" w:cs="仿宋_GB2312"/>
          <w:color w:val="auto"/>
          <w:spacing w:val="0"/>
          <w:kern w:val="2"/>
          <w:sz w:val="32"/>
          <w:szCs w:val="32"/>
          <w:highlight w:val="none"/>
          <w:lang w:val="en-US" w:eastAsia="zh-CN" w:bidi="ar-SA"/>
        </w:rPr>
        <w:t>本项目制定了项目支出</w:t>
      </w:r>
      <w:r>
        <w:rPr>
          <w:rFonts w:hint="eastAsia" w:ascii="仿宋_GB2312" w:hAnsi="仿宋_GB2312" w:cs="仿宋_GB2312"/>
          <w:sz w:val="32"/>
          <w:szCs w:val="32"/>
          <w:highlight w:val="none"/>
        </w:rPr>
        <w:t>绩效目标，明确了项目总体思路及总目标、并对项目任务进行了详细分解，对目标进行了细化。根据评分标准，该指标3分，得3分。</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hAnsi="仿宋_GB2312" w:cs="仿宋_GB2312"/>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4.绩效指标明确性：</w:t>
      </w:r>
      <w:r>
        <w:rPr>
          <w:rFonts w:hint="eastAsia" w:ascii="仿宋_GB2312" w:hAnsi="仿宋_GB2312" w:cs="仿宋_GB2312"/>
          <w:sz w:val="32"/>
          <w:szCs w:val="32"/>
          <w:highlight w:val="none"/>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hAnsi="仿宋_GB2312" w:cs="仿宋_GB2312"/>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5.预算编制科学性：</w:t>
      </w:r>
      <w:r>
        <w:rPr>
          <w:rFonts w:hint="eastAsia" w:ascii="仿宋_GB2312" w:hAnsi="仿宋_GB2312" w:cs="仿宋_GB2312"/>
          <w:sz w:val="32"/>
          <w:szCs w:val="32"/>
          <w:highlight w:val="none"/>
        </w:rPr>
        <w:t xml:space="preserve"> 预算编制经过科学论证，内容与项目内容匹配，项目投资额与工作任务相匹配，根据评分标准，该指标3分，得3分。</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hAnsi="仿宋_GB2312" w:cs="仿宋_GB2312"/>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6.资金分配合理性：</w:t>
      </w:r>
      <w:r>
        <w:rPr>
          <w:rFonts w:hint="eastAsia" w:ascii="仿宋_GB2312" w:hAnsi="仿宋_GB2312" w:cs="仿宋_GB2312"/>
          <w:sz w:val="32"/>
          <w:szCs w:val="32"/>
          <w:highlight w:val="none"/>
        </w:rPr>
        <w:t>本项目资金分配依据充分，资金分配额度合理，与项目地方实际相适应。根据评分标准，该指标2分，得2分。</w:t>
      </w:r>
    </w:p>
    <w:p>
      <w:pPr>
        <w:pStyle w:val="4"/>
        <w:pageBreakBefore w:val="0"/>
        <w:widowControl w:val="0"/>
        <w:kinsoku/>
        <w:wordWrap/>
        <w:topLinePunct w:val="0"/>
        <w:autoSpaceDE/>
        <w:autoSpaceDN/>
        <w:bidi w:val="0"/>
        <w:spacing w:after="0" w:afterAutospacing="0" w:line="560" w:lineRule="exact"/>
        <w:ind w:left="0" w:leftChars="0" w:firstLine="643"/>
        <w:textAlignment w:val="auto"/>
        <w:rPr>
          <w:rFonts w:ascii="楷体_GB2312" w:eastAsia="楷体_GB2312"/>
          <w:szCs w:val="32"/>
          <w:highlight w:val="none"/>
        </w:rPr>
      </w:pPr>
      <w:r>
        <w:rPr>
          <w:rFonts w:hint="eastAsia" w:ascii="楷体_GB2312" w:eastAsia="楷体_GB2312"/>
          <w:szCs w:val="32"/>
          <w:highlight w:val="none"/>
        </w:rPr>
        <w:t>（二）项目过程情况</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ascii="仿宋_GB2312" w:cs="仿宋_GB2312"/>
          <w:sz w:val="32"/>
          <w:szCs w:val="32"/>
          <w:highlight w:val="none"/>
        </w:rPr>
      </w:pPr>
      <w:r>
        <w:rPr>
          <w:rFonts w:hint="eastAsia" w:ascii="仿宋_GB2312" w:cs="仿宋_GB2312"/>
          <w:sz w:val="32"/>
          <w:szCs w:val="32"/>
          <w:highlight w:val="none"/>
        </w:rPr>
        <w:t>项目过程类指标包括资金管理和组织实施两方面的内容，由 5个三级指标构成，</w:t>
      </w:r>
      <w:r>
        <w:rPr>
          <w:rFonts w:hint="eastAsia" w:ascii="仿宋_GB2312" w:hAnsi="仿宋_GB2312" w:cs="仿宋_GB2312"/>
          <w:sz w:val="32"/>
          <w:szCs w:val="32"/>
          <w:highlight w:val="none"/>
        </w:rPr>
        <w:t>权重分值为 15 分，</w:t>
      </w:r>
      <w:r>
        <w:rPr>
          <w:rFonts w:hint="eastAsia" w:ascii="仿宋_GB2312" w:cs="仿宋_GB2312"/>
          <w:sz w:val="32"/>
          <w:szCs w:val="32"/>
          <w:highlight w:val="none"/>
        </w:rPr>
        <w:t>本项目实际得分15分，得分率为100%。具体各项指标得分如下：</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cs="仿宋_GB2312"/>
          <w:color w:val="FF0000"/>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1.资金到位率：</w:t>
      </w:r>
      <w:r>
        <w:rPr>
          <w:rFonts w:hint="eastAsia" w:ascii="仿宋_GB2312" w:cs="仿宋_GB2312"/>
          <w:sz w:val="32"/>
          <w:szCs w:val="32"/>
          <w:highlight w:val="none"/>
        </w:rPr>
        <w:t>该项目所需财政资金能够足额拨付到位，牵头单位能够及时足额按照合同约定将专项资金拨付给单位，根据评分标准，该指标2分，得2分</w:t>
      </w:r>
      <w:r>
        <w:rPr>
          <w:rFonts w:hint="eastAsia" w:ascii="仿宋_GB2312" w:cs="仿宋_GB2312"/>
          <w:color w:val="FF0000"/>
          <w:sz w:val="32"/>
          <w:szCs w:val="32"/>
          <w:highlight w:val="none"/>
        </w:rPr>
        <w:t xml:space="preserve">。   </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cs="仿宋_GB2312"/>
          <w:color w:val="FF0000"/>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2.预算执行率：</w:t>
      </w:r>
      <w:r>
        <w:rPr>
          <w:rFonts w:hint="eastAsia" w:ascii="仿宋_GB2312" w:cs="仿宋_GB2312"/>
          <w:sz w:val="32"/>
          <w:szCs w:val="32"/>
          <w:highlight w:val="none"/>
        </w:rPr>
        <w:t>本项目预算编制较为详细，预算资金</w:t>
      </w:r>
      <w:r>
        <w:rPr>
          <w:rFonts w:hint="eastAsia" w:ascii="仿宋_GB2312" w:cs="仿宋_GB2312"/>
          <w:sz w:val="32"/>
          <w:szCs w:val="32"/>
          <w:highlight w:val="none"/>
          <w:lang w:val="en-US" w:eastAsia="zh-CN"/>
        </w:rPr>
        <w:t>163</w:t>
      </w:r>
      <w:r>
        <w:rPr>
          <w:rFonts w:hint="eastAsia" w:ascii="仿宋_GB2312" w:cs="仿宋_GB2312"/>
          <w:sz w:val="32"/>
          <w:szCs w:val="32"/>
          <w:highlight w:val="none"/>
        </w:rPr>
        <w:t>万元，实际执行</w:t>
      </w:r>
      <w:r>
        <w:rPr>
          <w:rFonts w:hint="eastAsia" w:ascii="仿宋_GB2312" w:cs="仿宋_GB2312"/>
          <w:sz w:val="32"/>
          <w:szCs w:val="32"/>
          <w:highlight w:val="none"/>
          <w:lang w:val="en-US" w:eastAsia="zh-CN"/>
        </w:rPr>
        <w:t>163</w:t>
      </w:r>
      <w:r>
        <w:rPr>
          <w:rFonts w:hint="eastAsia" w:ascii="仿宋_GB2312" w:cs="仿宋_GB2312"/>
          <w:sz w:val="32"/>
          <w:szCs w:val="32"/>
          <w:highlight w:val="none"/>
        </w:rPr>
        <w:t>万元，预算执行率为100%，项目资金支出总体能够按照预算执行，根据评分标准，该指标2分，得2分</w:t>
      </w:r>
      <w:r>
        <w:rPr>
          <w:rFonts w:hint="eastAsia" w:ascii="仿宋_GB2312" w:cs="仿宋_GB2312"/>
          <w:color w:val="FF0000"/>
          <w:sz w:val="32"/>
          <w:szCs w:val="32"/>
          <w:highlight w:val="none"/>
        </w:rPr>
        <w:t>。</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cs="仿宋_GB2312"/>
          <w:color w:val="FF0000"/>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3.资金使用合规性：</w:t>
      </w:r>
      <w:r>
        <w:rPr>
          <w:rFonts w:hint="eastAsia" w:ascii="仿宋_GB2312" w:cs="仿宋_GB2312"/>
          <w:sz w:val="32"/>
          <w:szCs w:val="32"/>
          <w:highlight w:val="none"/>
        </w:rPr>
        <w:t>项目任务下达后，我单位制定了财务管理制度和管理规定对经费使用进行规范管理，财务制度健全、执行严格；根据评分标准，该指标3分，得3分。</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cs="仿宋_GB2312"/>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4.管理制度健全性：</w:t>
      </w:r>
      <w:r>
        <w:rPr>
          <w:rFonts w:hint="eastAsia" w:ascii="仿宋_GB2312" w:cs="仿宋_GB2312"/>
          <w:sz w:val="32"/>
          <w:szCs w:val="32"/>
          <w:highlight w:val="none"/>
        </w:rPr>
        <w:t>我单位制定了《维修改造专项资金管理办法》等相关项目管理办法，同时对财政专项资金进行严格管理，做到了专款专用，根据评分标准，该指标4分，得4分。</w:t>
      </w:r>
    </w:p>
    <w:p>
      <w:pPr>
        <w:pageBreakBefore w:val="0"/>
        <w:widowControl w:val="0"/>
        <w:kinsoku/>
        <w:wordWrap/>
        <w:topLinePunct w:val="0"/>
        <w:autoSpaceDE/>
        <w:autoSpaceDN/>
        <w:bidi w:val="0"/>
        <w:spacing w:after="0" w:afterAutospacing="0" w:line="560" w:lineRule="exact"/>
        <w:ind w:left="0" w:leftChars="0" w:firstLine="643"/>
        <w:textAlignment w:val="auto"/>
        <w:rPr>
          <w:rFonts w:ascii="仿宋_GB2312" w:cs="仿宋_GB2312"/>
          <w:sz w:val="32"/>
          <w:szCs w:val="32"/>
          <w:highlight w:val="none"/>
        </w:rPr>
      </w:pPr>
      <w:r>
        <w:rPr>
          <w:rFonts w:hint="eastAsia" w:ascii="仿宋_GB2312" w:hAnsi="仿宋_GB2312" w:eastAsia="仿宋_GB2312" w:cs="仿宋_GB2312"/>
          <w:b/>
          <w:bCs/>
          <w:color w:val="000000" w:themeColor="text1"/>
          <w:spacing w:val="0"/>
          <w:kern w:val="2"/>
          <w:sz w:val="32"/>
          <w:szCs w:val="32"/>
          <w:lang w:val="en-US" w:eastAsia="zh-CN" w:bidi="ar-SA"/>
          <w14:textFill>
            <w14:solidFill>
              <w14:schemeClr w14:val="tx1"/>
            </w14:solidFill>
          </w14:textFill>
        </w:rPr>
        <w:t>5.制度执行有效性：</w:t>
      </w:r>
      <w:r>
        <w:rPr>
          <w:rFonts w:hint="eastAsia" w:ascii="仿宋_GB2312" w:cs="仿宋_GB2312"/>
          <w:sz w:val="32"/>
          <w:szCs w:val="32"/>
          <w:highlight w:val="none"/>
        </w:rPr>
        <w:t>由科室提出经费预算支出可行性方案，经过与分管领导沟通后，报教科局研究执行，财务对资金的使用合法合规性进行监督，年底对资金使用效果进行自评，根据评分标准，该指标4分，得4分。</w:t>
      </w:r>
    </w:p>
    <w:p>
      <w:pPr>
        <w:pStyle w:val="4"/>
        <w:pageBreakBefore w:val="0"/>
        <w:widowControl w:val="0"/>
        <w:kinsoku/>
        <w:wordWrap/>
        <w:topLinePunct w:val="0"/>
        <w:autoSpaceDE/>
        <w:autoSpaceDN/>
        <w:bidi w:val="0"/>
        <w:spacing w:after="0" w:afterAutospacing="0" w:line="560" w:lineRule="exact"/>
        <w:ind w:left="0" w:leftChars="0" w:firstLine="643"/>
        <w:textAlignment w:val="auto"/>
        <w:rPr>
          <w:rFonts w:ascii="楷体_GB2312" w:eastAsia="楷体_GB2312"/>
          <w:szCs w:val="32"/>
          <w:highlight w:val="none"/>
        </w:rPr>
      </w:pPr>
      <w:r>
        <w:rPr>
          <w:rFonts w:hint="eastAsia" w:ascii="楷体_GB2312" w:eastAsia="楷体_GB2312"/>
          <w:szCs w:val="32"/>
          <w:highlight w:val="none"/>
        </w:rPr>
        <w:t>（三）项目产出情况</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ascii="仿宋_GB2312" w:hAnsi="仿宋_GB2312" w:cs="仿宋_GB2312"/>
          <w:sz w:val="32"/>
          <w:szCs w:val="32"/>
          <w:highlight w:val="none"/>
        </w:rPr>
      </w:pPr>
      <w:r>
        <w:rPr>
          <w:rFonts w:hint="eastAsia" w:ascii="仿宋_GB2312" w:cs="仿宋_GB2312"/>
          <w:sz w:val="32"/>
          <w:szCs w:val="32"/>
          <w:highlight w:val="none"/>
        </w:rPr>
        <w:t>项目产出类指标包括产出数量、产出质量、产出时效、产出成本共四方面的内容，由</w:t>
      </w:r>
      <w:r>
        <w:rPr>
          <w:rFonts w:hint="eastAsia" w:ascii="仿宋_GB2312" w:cs="仿宋_GB2312"/>
          <w:sz w:val="32"/>
          <w:szCs w:val="32"/>
          <w:highlight w:val="none"/>
          <w:lang w:val="en-US" w:eastAsia="zh-CN"/>
        </w:rPr>
        <w:t>12</w:t>
      </w:r>
      <w:r>
        <w:rPr>
          <w:rFonts w:hint="eastAsia" w:ascii="仿宋_GB2312" w:cs="仿宋_GB2312"/>
          <w:sz w:val="32"/>
          <w:szCs w:val="32"/>
          <w:highlight w:val="none"/>
        </w:rPr>
        <w:t>个三级指标构成，权重分为40分，本项目实际得分40分，得分</w:t>
      </w:r>
      <w:r>
        <w:rPr>
          <w:rFonts w:hint="eastAsia" w:ascii="仿宋_GB2312" w:hAnsi="仿宋_GB2312" w:cs="仿宋_GB2312"/>
          <w:sz w:val="32"/>
          <w:szCs w:val="32"/>
          <w:highlight w:val="none"/>
        </w:rPr>
        <w:t>率</w:t>
      </w:r>
      <w:r>
        <w:rPr>
          <w:rFonts w:hint="eastAsia" w:ascii="仿宋_GB2312" w:cs="仿宋_GB2312"/>
          <w:sz w:val="32"/>
          <w:szCs w:val="32"/>
          <w:highlight w:val="none"/>
        </w:rPr>
        <w:t>为40%。具</w:t>
      </w:r>
      <w:r>
        <w:rPr>
          <w:rFonts w:hint="eastAsia" w:ascii="仿宋_GB2312" w:hAnsi="仿宋_GB2312" w:cs="仿宋_GB2312"/>
          <w:sz w:val="32"/>
          <w:szCs w:val="32"/>
          <w:highlight w:val="none"/>
        </w:rPr>
        <w:t>体各项指标得分如下</w:t>
      </w:r>
      <w:r>
        <w:rPr>
          <w:rFonts w:ascii="仿宋_GB2312" w:hAnsi="仿宋_GB2312" w:cs="仿宋_GB2312"/>
          <w:sz w:val="32"/>
          <w:szCs w:val="32"/>
          <w:highlight w:val="none"/>
        </w:rPr>
        <w:t>：</w:t>
      </w:r>
    </w:p>
    <w:p>
      <w:pPr>
        <w:pageBreakBefore w:val="0"/>
        <w:widowControl w:val="0"/>
        <w:kinsoku/>
        <w:wordWrap/>
        <w:topLinePunct w:val="0"/>
        <w:autoSpaceDE/>
        <w:autoSpaceDN/>
        <w:bidi w:val="0"/>
        <w:spacing w:after="0" w:afterAutospacing="0" w:line="560" w:lineRule="exact"/>
        <w:ind w:left="0" w:leftChars="0" w:firstLine="964" w:firstLineChars="300"/>
        <w:textAlignment w:val="auto"/>
        <w:rPr>
          <w:rFonts w:hint="eastAsia" w:ascii="仿宋_GB2312"/>
          <w:b/>
          <w:bCs/>
          <w:sz w:val="32"/>
          <w:highlight w:val="none"/>
        </w:rPr>
      </w:pPr>
      <w:r>
        <w:rPr>
          <w:rFonts w:hint="eastAsia" w:ascii="仿宋_GB2312"/>
          <w:b/>
          <w:bCs/>
          <w:sz w:val="32"/>
          <w:highlight w:val="none"/>
          <w:lang w:val="en-US" w:eastAsia="zh-CN"/>
        </w:rPr>
        <w:t xml:space="preserve">1.产出数量 </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①数量指标</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学生宿舍粉刷总面积</w:t>
      </w:r>
      <w:r>
        <w:rPr>
          <w:rFonts w:hint="eastAsia" w:ascii="仿宋_GB2312" w:hAnsi="仿宋_GB2312" w:eastAsia="仿宋_GB2312" w:cs="仿宋_GB2312"/>
          <w:color w:val="auto"/>
          <w:sz w:val="32"/>
          <w:szCs w:val="32"/>
          <w:highlight w:val="none"/>
          <w:shd w:val="clear"/>
        </w:rPr>
        <w:t>（平方米）</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指标，预期指标值为“</w:t>
      </w:r>
      <w:r>
        <w:rPr>
          <w:rFonts w:hint="eastAsia" w:ascii="仿宋_GB2312" w:hAnsi="仿宋_GB2312" w:eastAsia="仿宋_GB2312" w:cs="仿宋_GB2312"/>
          <w:sz w:val="32"/>
          <w:szCs w:val="32"/>
          <w:highlight w:val="none"/>
          <w:lang w:eastAsia="zh-CN"/>
        </w:rPr>
        <w:t>大于</w:t>
      </w:r>
      <w:r>
        <w:rPr>
          <w:rFonts w:hint="eastAsia" w:ascii="仿宋_GB2312" w:hAnsi="仿宋_GB2312" w:eastAsia="仿宋_GB2312" w:cs="仿宋_GB2312"/>
          <w:sz w:val="32"/>
          <w:szCs w:val="32"/>
          <w:highlight w:val="none"/>
        </w:rPr>
        <w:t>等于</w:t>
      </w:r>
      <w:r>
        <w:rPr>
          <w:rFonts w:hint="eastAsia" w:ascii="仿宋_GB2312" w:hAnsi="仿宋_GB2312" w:cs="仿宋_GB2312"/>
          <w:sz w:val="32"/>
          <w:szCs w:val="32"/>
          <w:highlight w:val="none"/>
          <w:lang w:val="en-US" w:eastAsia="zh-CN"/>
        </w:rPr>
        <w:t>1600</w:t>
      </w:r>
      <w:r>
        <w:rPr>
          <w:rFonts w:hint="eastAsia" w:ascii="仿宋_GB2312" w:hAnsi="仿宋_GB2312" w:eastAsia="仿宋_GB2312" w:cs="仿宋_GB2312"/>
          <w:sz w:val="32"/>
          <w:szCs w:val="32"/>
          <w:highlight w:val="none"/>
          <w:lang w:val="en-US" w:eastAsia="zh-CN"/>
        </w:rPr>
        <w:t>平方米</w:t>
      </w:r>
      <w:r>
        <w:rPr>
          <w:rFonts w:hint="eastAsia" w:ascii="仿宋_GB2312" w:hAnsi="仿宋_GB2312" w:eastAsia="仿宋_GB2312" w:cs="仿宋_GB2312"/>
          <w:sz w:val="32"/>
          <w:szCs w:val="32"/>
          <w:highlight w:val="none"/>
        </w:rPr>
        <w:t>”；</w:t>
      </w:r>
      <w:r>
        <w:rPr>
          <w:rFonts w:hint="eastAsia" w:ascii="仿宋_GB2312" w:cs="仿宋_GB2312"/>
          <w:sz w:val="32"/>
          <w:szCs w:val="32"/>
          <w:highlight w:val="none"/>
        </w:rPr>
        <w:t>根据工程竣工验收报告可知，实际完成</w:t>
      </w:r>
      <w:r>
        <w:rPr>
          <w:rFonts w:hint="eastAsia" w:ascii="仿宋_GB2312" w:hAnsi="仿宋_GB2312" w:eastAsia="仿宋_GB2312" w:cs="仿宋_GB2312"/>
          <w:sz w:val="32"/>
          <w:szCs w:val="32"/>
          <w:highlight w:val="none"/>
        </w:rPr>
        <w:t>学生宿舍粉刷总面积</w:t>
      </w:r>
      <w:r>
        <w:rPr>
          <w:rFonts w:hint="eastAsia" w:ascii="仿宋_GB2312" w:hAnsi="仿宋_GB2312" w:cs="仿宋_GB2312"/>
          <w:sz w:val="32"/>
          <w:szCs w:val="32"/>
          <w:highlight w:val="none"/>
          <w:lang w:val="en-US" w:eastAsia="zh-CN"/>
        </w:rPr>
        <w:t>1600</w:t>
      </w:r>
      <w:r>
        <w:rPr>
          <w:rFonts w:hint="eastAsia" w:ascii="仿宋_GB2312" w:hAnsi="仿宋_GB2312" w:eastAsia="仿宋_GB2312" w:cs="仿宋_GB2312"/>
          <w:sz w:val="32"/>
          <w:szCs w:val="32"/>
          <w:highlight w:val="none"/>
          <w:lang w:val="en-US" w:eastAsia="zh-CN"/>
        </w:rPr>
        <w:t>平方米</w:t>
      </w:r>
      <w:r>
        <w:rPr>
          <w:rFonts w:hint="eastAsia" w:ascii="仿宋_GB2312" w:cs="仿宋_GB2312"/>
          <w:sz w:val="32"/>
          <w:szCs w:val="32"/>
          <w:highlight w:val="none"/>
        </w:rPr>
        <w:t>，与预期目标一致，根据评分标准，该指标</w:t>
      </w:r>
      <w:r>
        <w:rPr>
          <w:rFonts w:hint="eastAsia" w:ascii="仿宋_GB2312" w:cs="仿宋_GB2312"/>
          <w:sz w:val="32"/>
          <w:szCs w:val="32"/>
          <w:highlight w:val="none"/>
          <w:lang w:val="en-US" w:eastAsia="zh-CN"/>
        </w:rPr>
        <w:t>3</w:t>
      </w:r>
      <w:r>
        <w:rPr>
          <w:rFonts w:hint="eastAsia" w:ascii="仿宋_GB2312" w:cs="仿宋_GB2312"/>
          <w:sz w:val="32"/>
          <w:szCs w:val="32"/>
          <w:highlight w:val="none"/>
        </w:rPr>
        <w:t>分，得</w:t>
      </w:r>
      <w:r>
        <w:rPr>
          <w:rFonts w:hint="eastAsia" w:ascii="仿宋_GB2312" w:cs="仿宋_GB2312"/>
          <w:sz w:val="32"/>
          <w:szCs w:val="32"/>
          <w:highlight w:val="none"/>
          <w:lang w:val="en-US" w:eastAsia="zh-CN"/>
        </w:rPr>
        <w:t>3</w:t>
      </w:r>
      <w:r>
        <w:rPr>
          <w:rFonts w:hint="eastAsia" w:ascii="仿宋_GB2312" w:cs="仿宋_GB2312"/>
          <w:sz w:val="32"/>
          <w:szCs w:val="32"/>
          <w:highlight w:val="none"/>
        </w:rPr>
        <w:t>分。</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教室门窗把手更换维修（个）</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指标，预期指标值为“</w:t>
      </w:r>
      <w:r>
        <w:rPr>
          <w:rFonts w:hint="eastAsia" w:ascii="仿宋_GB2312" w:hAnsi="仿宋_GB2312" w:eastAsia="仿宋_GB2312" w:cs="仿宋_GB2312"/>
          <w:b w:val="0"/>
          <w:bCs w:val="0"/>
          <w:sz w:val="32"/>
          <w:szCs w:val="32"/>
          <w:highlight w:val="none"/>
          <w:lang w:eastAsia="zh-CN"/>
        </w:rPr>
        <w:t>大于</w:t>
      </w:r>
      <w:r>
        <w:rPr>
          <w:rFonts w:hint="eastAsia" w:ascii="仿宋_GB2312" w:hAnsi="仿宋_GB2312" w:eastAsia="仿宋_GB2312" w:cs="仿宋_GB2312"/>
          <w:b w:val="0"/>
          <w:bCs w:val="0"/>
          <w:sz w:val="32"/>
          <w:szCs w:val="32"/>
          <w:highlight w:val="none"/>
        </w:rPr>
        <w:t>等于</w:t>
      </w:r>
      <w:r>
        <w:rPr>
          <w:rFonts w:hint="eastAsia" w:cs="仿宋_GB2312"/>
          <w:b w:val="0"/>
          <w:bCs w:val="0"/>
          <w:sz w:val="32"/>
          <w:szCs w:val="32"/>
          <w:highlight w:val="none"/>
          <w:lang w:val="en-US" w:eastAsia="zh-CN"/>
        </w:rPr>
        <w:t>24个</w:t>
      </w:r>
      <w:r>
        <w:rPr>
          <w:rFonts w:hint="eastAsia" w:ascii="仿宋_GB2312" w:hAnsi="仿宋_GB2312" w:eastAsia="仿宋_GB2312" w:cs="仿宋_GB2312"/>
          <w:b w:val="0"/>
          <w:bCs w:val="0"/>
          <w:sz w:val="32"/>
          <w:szCs w:val="32"/>
          <w:highlight w:val="none"/>
        </w:rPr>
        <w:t>”；</w:t>
      </w:r>
      <w:r>
        <w:rPr>
          <w:rFonts w:hint="eastAsia" w:ascii="仿宋_GB2312" w:cs="仿宋_GB2312"/>
          <w:sz w:val="32"/>
          <w:szCs w:val="32"/>
          <w:highlight w:val="none"/>
        </w:rPr>
        <w:t>根据工程竣工验收报告可知，实际完成</w:t>
      </w:r>
      <w:r>
        <w:rPr>
          <w:rFonts w:hint="eastAsia" w:ascii="仿宋_GB2312" w:hAnsi="仿宋_GB2312" w:eastAsia="仿宋_GB2312" w:cs="仿宋_GB2312"/>
          <w:b w:val="0"/>
          <w:bCs w:val="0"/>
          <w:sz w:val="32"/>
          <w:szCs w:val="32"/>
          <w:highlight w:val="none"/>
        </w:rPr>
        <w:t>教室门窗把手更换</w:t>
      </w:r>
      <w:r>
        <w:rPr>
          <w:rFonts w:hint="eastAsia" w:cs="仿宋_GB2312"/>
          <w:b w:val="0"/>
          <w:bCs w:val="0"/>
          <w:sz w:val="32"/>
          <w:szCs w:val="32"/>
          <w:highlight w:val="none"/>
          <w:lang w:val="en-US" w:eastAsia="zh-CN"/>
        </w:rPr>
        <w:t>24个</w:t>
      </w:r>
      <w:r>
        <w:rPr>
          <w:rFonts w:hint="eastAsia" w:ascii="仿宋_GB2312" w:cs="仿宋_GB2312"/>
          <w:sz w:val="32"/>
          <w:szCs w:val="32"/>
          <w:highlight w:val="none"/>
        </w:rPr>
        <w:t>，与预期目标一致，根据评分标准，该指标</w:t>
      </w:r>
      <w:r>
        <w:rPr>
          <w:rFonts w:hint="eastAsia" w:ascii="仿宋_GB2312" w:cs="仿宋_GB2312"/>
          <w:sz w:val="32"/>
          <w:szCs w:val="32"/>
          <w:highlight w:val="none"/>
          <w:lang w:val="en-US" w:eastAsia="zh-CN"/>
        </w:rPr>
        <w:t>3</w:t>
      </w:r>
      <w:r>
        <w:rPr>
          <w:rFonts w:hint="eastAsia" w:ascii="仿宋_GB2312" w:cs="仿宋_GB2312"/>
          <w:sz w:val="32"/>
          <w:szCs w:val="32"/>
          <w:highlight w:val="none"/>
        </w:rPr>
        <w:t>分，得</w:t>
      </w:r>
      <w:r>
        <w:rPr>
          <w:rFonts w:hint="eastAsia" w:ascii="仿宋_GB2312" w:cs="仿宋_GB2312"/>
          <w:sz w:val="32"/>
          <w:szCs w:val="32"/>
          <w:highlight w:val="none"/>
          <w:lang w:val="en-US" w:eastAsia="zh-CN"/>
        </w:rPr>
        <w:t>3</w:t>
      </w:r>
      <w:r>
        <w:rPr>
          <w:rFonts w:hint="eastAsia" w:ascii="仿宋_GB2312" w:cs="仿宋_GB2312"/>
          <w:sz w:val="32"/>
          <w:szCs w:val="32"/>
          <w:highlight w:val="none"/>
        </w:rPr>
        <w:t>分。</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default" w:eastAsia="仿宋_GB2312"/>
          <w:highlight w:val="none"/>
          <w:lang w:val="en-US"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三个课堂装修面积（平方米）</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指标，预期指标值为“</w:t>
      </w:r>
      <w:r>
        <w:rPr>
          <w:rFonts w:hint="eastAsia" w:ascii="仿宋_GB2312" w:hAnsi="仿宋_GB2312" w:eastAsia="仿宋_GB2312" w:cs="仿宋_GB2312"/>
          <w:b w:val="0"/>
          <w:bCs w:val="0"/>
          <w:sz w:val="32"/>
          <w:szCs w:val="32"/>
          <w:highlight w:val="none"/>
          <w:lang w:eastAsia="zh-CN"/>
        </w:rPr>
        <w:t>大于</w:t>
      </w:r>
      <w:r>
        <w:rPr>
          <w:rFonts w:hint="eastAsia" w:ascii="仿宋_GB2312" w:hAnsi="仿宋_GB2312" w:eastAsia="仿宋_GB2312" w:cs="仿宋_GB2312"/>
          <w:b w:val="0"/>
          <w:bCs w:val="0"/>
          <w:sz w:val="32"/>
          <w:szCs w:val="32"/>
          <w:highlight w:val="none"/>
        </w:rPr>
        <w:t>等于</w:t>
      </w:r>
      <w:r>
        <w:rPr>
          <w:rFonts w:hint="eastAsia" w:cs="仿宋_GB2312"/>
          <w:b w:val="0"/>
          <w:bCs w:val="0"/>
          <w:sz w:val="32"/>
          <w:szCs w:val="32"/>
          <w:highlight w:val="none"/>
          <w:lang w:val="en-US" w:eastAsia="zh-CN"/>
        </w:rPr>
        <w:t>86.8平方米</w:t>
      </w:r>
      <w:r>
        <w:rPr>
          <w:rFonts w:hint="eastAsia" w:ascii="仿宋_GB2312" w:hAnsi="仿宋_GB2312" w:eastAsia="仿宋_GB2312" w:cs="仿宋_GB2312"/>
          <w:b w:val="0"/>
          <w:bCs w:val="0"/>
          <w:sz w:val="32"/>
          <w:szCs w:val="32"/>
          <w:highlight w:val="none"/>
        </w:rPr>
        <w:t>”；</w:t>
      </w:r>
      <w:r>
        <w:rPr>
          <w:rFonts w:hint="eastAsia" w:ascii="仿宋_GB2312" w:cs="仿宋_GB2312"/>
          <w:sz w:val="32"/>
          <w:szCs w:val="32"/>
          <w:highlight w:val="none"/>
        </w:rPr>
        <w:t>根据工程竣工验收报告可知，实际完成</w:t>
      </w:r>
      <w:r>
        <w:rPr>
          <w:rFonts w:hint="eastAsia" w:ascii="仿宋_GB2312" w:hAnsi="仿宋_GB2312" w:eastAsia="仿宋_GB2312" w:cs="仿宋_GB2312"/>
          <w:b w:val="0"/>
          <w:bCs w:val="0"/>
          <w:sz w:val="32"/>
          <w:szCs w:val="32"/>
          <w:highlight w:val="none"/>
        </w:rPr>
        <w:t>三个课堂装修面积</w:t>
      </w:r>
      <w:r>
        <w:rPr>
          <w:rFonts w:hint="eastAsia" w:cs="仿宋_GB2312"/>
          <w:b w:val="0"/>
          <w:bCs w:val="0"/>
          <w:sz w:val="32"/>
          <w:szCs w:val="32"/>
          <w:highlight w:val="none"/>
          <w:lang w:val="en-US" w:eastAsia="zh-CN"/>
        </w:rPr>
        <w:t>86.8平方米</w:t>
      </w:r>
      <w:r>
        <w:rPr>
          <w:rFonts w:hint="eastAsia" w:ascii="仿宋_GB2312" w:cs="仿宋_GB2312"/>
          <w:sz w:val="32"/>
          <w:szCs w:val="32"/>
          <w:highlight w:val="none"/>
        </w:rPr>
        <w:t>，与预期目标一致，根据评分标准，该指标</w:t>
      </w:r>
      <w:r>
        <w:rPr>
          <w:rFonts w:hint="eastAsia" w:ascii="仿宋_GB2312" w:cs="仿宋_GB2312"/>
          <w:sz w:val="32"/>
          <w:szCs w:val="32"/>
          <w:highlight w:val="none"/>
          <w:lang w:val="en-US" w:eastAsia="zh-CN"/>
        </w:rPr>
        <w:t>4</w:t>
      </w:r>
      <w:r>
        <w:rPr>
          <w:rFonts w:hint="eastAsia" w:ascii="仿宋_GB2312" w:cs="仿宋_GB2312"/>
          <w:sz w:val="32"/>
          <w:szCs w:val="32"/>
          <w:highlight w:val="none"/>
        </w:rPr>
        <w:t>分，得</w:t>
      </w:r>
      <w:r>
        <w:rPr>
          <w:rFonts w:hint="eastAsia" w:ascii="仿宋_GB2312" w:cs="仿宋_GB2312"/>
          <w:sz w:val="32"/>
          <w:szCs w:val="32"/>
          <w:highlight w:val="none"/>
          <w:lang w:val="en-US" w:eastAsia="zh-CN"/>
        </w:rPr>
        <w:t>4</w:t>
      </w:r>
      <w:r>
        <w:rPr>
          <w:rFonts w:hint="eastAsia" w:ascii="仿宋_GB2312" w:cs="仿宋_GB2312"/>
          <w:sz w:val="32"/>
          <w:szCs w:val="32"/>
          <w:highlight w:val="none"/>
        </w:rPr>
        <w:t>分。</w:t>
      </w:r>
    </w:p>
    <w:p>
      <w:pPr>
        <w:pageBreakBefore w:val="0"/>
        <w:widowControl w:val="0"/>
        <w:kinsoku/>
        <w:wordWrap/>
        <w:topLinePunct w:val="0"/>
        <w:autoSpaceDE/>
        <w:autoSpaceDN/>
        <w:bidi w:val="0"/>
        <w:spacing w:after="0" w:afterAutospacing="0" w:line="560" w:lineRule="exact"/>
        <w:ind w:left="0" w:leftChars="0" w:firstLine="964" w:firstLineChars="300"/>
        <w:textAlignment w:val="auto"/>
        <w:rPr>
          <w:rFonts w:ascii="仿宋_GB2312"/>
          <w:b/>
          <w:bCs/>
          <w:sz w:val="32"/>
          <w:highlight w:val="none"/>
        </w:rPr>
      </w:pPr>
      <w:r>
        <w:rPr>
          <w:rFonts w:hint="eastAsia" w:ascii="仿宋_GB2312"/>
          <w:b/>
          <w:bCs/>
          <w:sz w:val="32"/>
          <w:highlight w:val="none"/>
        </w:rPr>
        <w:t>2.产出质量</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cs="仿宋_GB2312"/>
          <w:sz w:val="32"/>
          <w:szCs w:val="32"/>
          <w:highlight w:val="none"/>
        </w:rPr>
      </w:pPr>
      <w:r>
        <w:rPr>
          <w:rFonts w:hint="eastAsia" w:ascii="仿宋_GB2312" w:cs="仿宋_GB2312"/>
          <w:sz w:val="32"/>
          <w:szCs w:val="32"/>
          <w:highlight w:val="none"/>
        </w:rPr>
        <w:t>“工程竣工验收合格率”指标，预期指标值为“等于100%”，根据现场核查，目前维修工程已验收合格，资金使用规范率100%，与预期目标一致，根据评分标准，该指标</w:t>
      </w:r>
      <w:r>
        <w:rPr>
          <w:rFonts w:hint="eastAsia" w:ascii="仿宋_GB2312" w:cs="仿宋_GB2312"/>
          <w:sz w:val="32"/>
          <w:szCs w:val="32"/>
          <w:highlight w:val="none"/>
          <w:lang w:val="en-US" w:eastAsia="zh-CN"/>
        </w:rPr>
        <w:t>10</w:t>
      </w:r>
      <w:r>
        <w:rPr>
          <w:rFonts w:hint="eastAsia" w:ascii="仿宋_GB2312" w:cs="仿宋_GB2312"/>
          <w:sz w:val="32"/>
          <w:szCs w:val="32"/>
          <w:highlight w:val="none"/>
        </w:rPr>
        <w:t>分，得</w:t>
      </w:r>
      <w:r>
        <w:rPr>
          <w:rFonts w:hint="eastAsia" w:ascii="仿宋_GB2312" w:cs="仿宋_GB2312"/>
          <w:sz w:val="32"/>
          <w:szCs w:val="32"/>
          <w:highlight w:val="none"/>
          <w:lang w:val="en-US" w:eastAsia="zh-CN"/>
        </w:rPr>
        <w:t>10</w:t>
      </w:r>
      <w:r>
        <w:rPr>
          <w:rFonts w:hint="eastAsia" w:ascii="仿宋_GB2312" w:cs="仿宋_GB2312"/>
          <w:sz w:val="32"/>
          <w:szCs w:val="32"/>
          <w:highlight w:val="none"/>
        </w:rPr>
        <w:t>分。</w:t>
      </w:r>
    </w:p>
    <w:p>
      <w:pPr>
        <w:pageBreakBefore w:val="0"/>
        <w:widowControl w:val="0"/>
        <w:kinsoku/>
        <w:wordWrap/>
        <w:topLinePunct w:val="0"/>
        <w:autoSpaceDE/>
        <w:autoSpaceDN/>
        <w:bidi w:val="0"/>
        <w:spacing w:after="0" w:afterAutospacing="0" w:line="560" w:lineRule="exact"/>
        <w:ind w:left="0" w:leftChars="0" w:firstLine="964" w:firstLineChars="300"/>
        <w:textAlignment w:val="auto"/>
        <w:rPr>
          <w:rFonts w:hint="eastAsia" w:ascii="仿宋_GB2312"/>
          <w:b/>
          <w:bCs/>
          <w:sz w:val="32"/>
          <w:highlight w:val="none"/>
        </w:rPr>
      </w:pPr>
      <w:r>
        <w:rPr>
          <w:rFonts w:hint="eastAsia" w:ascii="仿宋_GB2312"/>
          <w:b/>
          <w:bCs/>
          <w:sz w:val="32"/>
          <w:highlight w:val="none"/>
          <w:lang w:val="en-US" w:eastAsia="zh-CN"/>
        </w:rPr>
        <w:t>3.</w:t>
      </w:r>
      <w:r>
        <w:rPr>
          <w:rFonts w:hint="eastAsia" w:ascii="仿宋_GB2312"/>
          <w:b/>
          <w:bCs/>
          <w:sz w:val="32"/>
          <w:highlight w:val="none"/>
        </w:rPr>
        <w:t>产出时效</w:t>
      </w:r>
    </w:p>
    <w:p>
      <w:pPr>
        <w:pStyle w:val="6"/>
        <w:pageBreakBefore w:val="0"/>
        <w:widowControl w:val="0"/>
        <w:kinsoku/>
        <w:wordWrap/>
        <w:topLinePunct w:val="0"/>
        <w:autoSpaceDE/>
        <w:autoSpaceDN/>
        <w:bidi w:val="0"/>
        <w:spacing w:before="0" w:after="0" w:afterAutospacing="0" w:line="560" w:lineRule="exact"/>
        <w:ind w:left="0" w:leftChars="0" w:firstLine="640"/>
        <w:jc w:val="both"/>
        <w:textAlignment w:val="auto"/>
        <w:rPr>
          <w:rFonts w:hint="eastAsia" w:ascii="仿宋_GB2312" w:cs="仿宋_GB2312"/>
          <w:b w:val="0"/>
          <w:sz w:val="32"/>
          <w:szCs w:val="32"/>
          <w:highlight w:val="none"/>
        </w:rPr>
      </w:pPr>
      <w:r>
        <w:rPr>
          <w:rFonts w:hint="eastAsia" w:ascii="仿宋_GB2312" w:cs="仿宋_GB2312"/>
          <w:b w:val="0"/>
          <w:sz w:val="32"/>
          <w:szCs w:val="32"/>
          <w:highlight w:val="none"/>
        </w:rPr>
        <w:t>“项目资金支付及时率（%）”指标，预期指标值为“等于100%”，根据现场核查，目前维修工程已验收合格，资金支付及时率100%，与预期目标一致，根据评分标准，该指标</w:t>
      </w:r>
      <w:r>
        <w:rPr>
          <w:rFonts w:hint="eastAsia" w:ascii="仿宋_GB2312" w:cs="仿宋_GB2312"/>
          <w:b w:val="0"/>
          <w:sz w:val="32"/>
          <w:szCs w:val="32"/>
          <w:highlight w:val="none"/>
          <w:lang w:val="en-US" w:eastAsia="zh-CN"/>
        </w:rPr>
        <w:t>5</w:t>
      </w:r>
      <w:r>
        <w:rPr>
          <w:rFonts w:hint="eastAsia" w:ascii="仿宋_GB2312" w:cs="仿宋_GB2312"/>
          <w:b w:val="0"/>
          <w:sz w:val="32"/>
          <w:szCs w:val="32"/>
          <w:highlight w:val="none"/>
        </w:rPr>
        <w:t>分，得</w:t>
      </w:r>
      <w:r>
        <w:rPr>
          <w:rFonts w:hint="eastAsia" w:ascii="仿宋_GB2312" w:cs="仿宋_GB2312"/>
          <w:b w:val="0"/>
          <w:sz w:val="32"/>
          <w:szCs w:val="32"/>
          <w:highlight w:val="none"/>
          <w:lang w:val="en-US" w:eastAsia="zh-CN"/>
        </w:rPr>
        <w:t>5</w:t>
      </w:r>
      <w:r>
        <w:rPr>
          <w:rFonts w:hint="eastAsia" w:ascii="仿宋_GB2312" w:cs="仿宋_GB2312"/>
          <w:b w:val="0"/>
          <w:sz w:val="32"/>
          <w:szCs w:val="32"/>
          <w:highlight w:val="none"/>
        </w:rPr>
        <w:t>分。</w:t>
      </w:r>
    </w:p>
    <w:p>
      <w:pPr>
        <w:pStyle w:val="6"/>
        <w:pageBreakBefore w:val="0"/>
        <w:widowControl w:val="0"/>
        <w:kinsoku/>
        <w:wordWrap/>
        <w:topLinePunct w:val="0"/>
        <w:autoSpaceDE/>
        <w:autoSpaceDN/>
        <w:bidi w:val="0"/>
        <w:spacing w:before="0" w:after="0" w:afterAutospacing="0" w:line="560" w:lineRule="exact"/>
        <w:ind w:left="0" w:leftChars="0" w:firstLine="640"/>
        <w:jc w:val="both"/>
        <w:textAlignment w:val="auto"/>
        <w:rPr>
          <w:rFonts w:ascii="仿宋_GB2312" w:cs="仿宋_GB2312"/>
          <w:b w:val="0"/>
          <w:sz w:val="32"/>
          <w:szCs w:val="32"/>
          <w:highlight w:val="none"/>
        </w:rPr>
      </w:pPr>
      <w:r>
        <w:rPr>
          <w:rFonts w:hint="eastAsia" w:ascii="仿宋_GB2312" w:cs="仿宋_GB2312"/>
          <w:b w:val="0"/>
          <w:color w:val="auto"/>
          <w:sz w:val="32"/>
          <w:szCs w:val="32"/>
          <w:highlight w:val="none"/>
        </w:rPr>
        <w:t>“</w:t>
      </w:r>
      <w:r>
        <w:rPr>
          <w:rFonts w:hint="eastAsia" w:ascii="仿宋_GB2312" w:cs="仿宋_GB2312"/>
          <w:b w:val="0"/>
          <w:sz w:val="32"/>
          <w:szCs w:val="32"/>
          <w:highlight w:val="none"/>
        </w:rPr>
        <w:t>项目完成时限（年月日）”指标，预期指标值为“20</w:t>
      </w:r>
      <w:r>
        <w:rPr>
          <w:rFonts w:hint="eastAsia" w:ascii="仿宋_GB2312" w:cs="仿宋_GB2312"/>
          <w:b w:val="0"/>
          <w:sz w:val="32"/>
          <w:szCs w:val="32"/>
          <w:highlight w:val="none"/>
          <w:lang w:val="en-US" w:eastAsia="zh-CN"/>
        </w:rPr>
        <w:t>23</w:t>
      </w:r>
      <w:r>
        <w:rPr>
          <w:rFonts w:hint="eastAsia" w:ascii="仿宋_GB2312" w:cs="仿宋_GB2312"/>
          <w:b w:val="0"/>
          <w:sz w:val="32"/>
          <w:szCs w:val="32"/>
          <w:highlight w:val="none"/>
        </w:rPr>
        <w:t>年12月2</w:t>
      </w:r>
      <w:r>
        <w:rPr>
          <w:rFonts w:hint="eastAsia" w:ascii="仿宋_GB2312" w:cs="仿宋_GB2312"/>
          <w:b w:val="0"/>
          <w:sz w:val="32"/>
          <w:szCs w:val="32"/>
          <w:highlight w:val="none"/>
          <w:lang w:val="en-US" w:eastAsia="zh-CN"/>
        </w:rPr>
        <w:t>5</w:t>
      </w:r>
      <w:r>
        <w:rPr>
          <w:rFonts w:hint="eastAsia" w:ascii="仿宋_GB2312" w:cs="仿宋_GB2312"/>
          <w:b w:val="0"/>
          <w:sz w:val="32"/>
          <w:szCs w:val="32"/>
          <w:highlight w:val="none"/>
        </w:rPr>
        <w:t>日”；根据资金支付凭证显示，该项目于20</w:t>
      </w:r>
      <w:r>
        <w:rPr>
          <w:rFonts w:hint="eastAsia" w:ascii="仿宋_GB2312" w:cs="仿宋_GB2312"/>
          <w:b w:val="0"/>
          <w:sz w:val="32"/>
          <w:szCs w:val="32"/>
          <w:highlight w:val="none"/>
          <w:lang w:val="en-US" w:eastAsia="zh-CN"/>
        </w:rPr>
        <w:t>23</w:t>
      </w:r>
      <w:r>
        <w:rPr>
          <w:rFonts w:hint="eastAsia" w:ascii="仿宋_GB2312" w:cs="仿宋_GB2312"/>
          <w:b w:val="0"/>
          <w:sz w:val="32"/>
          <w:szCs w:val="32"/>
          <w:highlight w:val="none"/>
        </w:rPr>
        <w:t>年</w:t>
      </w:r>
      <w:r>
        <w:rPr>
          <w:rFonts w:hint="eastAsia" w:ascii="仿宋_GB2312" w:cs="仿宋_GB2312"/>
          <w:b w:val="0"/>
          <w:sz w:val="32"/>
          <w:szCs w:val="32"/>
          <w:highlight w:val="none"/>
          <w:lang w:val="en-US" w:eastAsia="zh-CN"/>
        </w:rPr>
        <w:t>10</w:t>
      </w:r>
      <w:r>
        <w:rPr>
          <w:rFonts w:hint="eastAsia" w:ascii="仿宋_GB2312" w:cs="仿宋_GB2312"/>
          <w:b w:val="0"/>
          <w:sz w:val="32"/>
          <w:szCs w:val="32"/>
          <w:highlight w:val="none"/>
        </w:rPr>
        <w:t>月完成竣工验收，按合同约定，资金已于</w:t>
      </w:r>
      <w:r>
        <w:rPr>
          <w:rFonts w:hint="eastAsia" w:ascii="仿宋_GB2312" w:cs="仿宋_GB2312"/>
          <w:b w:val="0"/>
          <w:sz w:val="32"/>
          <w:szCs w:val="32"/>
          <w:highlight w:val="none"/>
          <w:lang w:eastAsia="zh-CN"/>
        </w:rPr>
        <w:t>2023</w:t>
      </w:r>
      <w:r>
        <w:rPr>
          <w:rFonts w:hint="eastAsia" w:ascii="仿宋_GB2312" w:cs="仿宋_GB2312"/>
          <w:b w:val="0"/>
          <w:sz w:val="32"/>
          <w:szCs w:val="32"/>
          <w:highlight w:val="none"/>
        </w:rPr>
        <w:t>年12月2</w:t>
      </w:r>
      <w:r>
        <w:rPr>
          <w:rFonts w:hint="eastAsia" w:ascii="仿宋_GB2312" w:cs="仿宋_GB2312"/>
          <w:b w:val="0"/>
          <w:sz w:val="32"/>
          <w:szCs w:val="32"/>
          <w:highlight w:val="none"/>
          <w:lang w:val="en-US" w:eastAsia="zh-CN"/>
        </w:rPr>
        <w:t>5</w:t>
      </w:r>
      <w:r>
        <w:rPr>
          <w:rFonts w:hint="eastAsia" w:ascii="仿宋_GB2312" w:cs="仿宋_GB2312"/>
          <w:b w:val="0"/>
          <w:sz w:val="32"/>
          <w:szCs w:val="32"/>
          <w:highlight w:val="none"/>
        </w:rPr>
        <w:t>日全部支付完毕，与预期目标指标一致，根据评分标准，该指标</w:t>
      </w:r>
      <w:r>
        <w:rPr>
          <w:rFonts w:hint="eastAsia" w:ascii="仿宋_GB2312" w:cs="仿宋_GB2312"/>
          <w:b w:val="0"/>
          <w:sz w:val="32"/>
          <w:szCs w:val="32"/>
          <w:highlight w:val="none"/>
          <w:lang w:val="en-US" w:eastAsia="zh-CN"/>
        </w:rPr>
        <w:t>5</w:t>
      </w:r>
      <w:r>
        <w:rPr>
          <w:rFonts w:hint="eastAsia" w:ascii="仿宋_GB2312" w:cs="仿宋_GB2312"/>
          <w:b w:val="0"/>
          <w:sz w:val="32"/>
          <w:szCs w:val="32"/>
          <w:highlight w:val="none"/>
        </w:rPr>
        <w:t>分，得</w:t>
      </w:r>
      <w:r>
        <w:rPr>
          <w:rFonts w:hint="eastAsia" w:ascii="仿宋_GB2312" w:cs="仿宋_GB2312"/>
          <w:b w:val="0"/>
          <w:sz w:val="32"/>
          <w:szCs w:val="32"/>
          <w:highlight w:val="none"/>
          <w:lang w:val="en-US" w:eastAsia="zh-CN"/>
        </w:rPr>
        <w:t>5</w:t>
      </w:r>
      <w:r>
        <w:rPr>
          <w:rFonts w:hint="eastAsia" w:ascii="仿宋_GB2312" w:cs="仿宋_GB2312"/>
          <w:b w:val="0"/>
          <w:sz w:val="32"/>
          <w:szCs w:val="32"/>
          <w:highlight w:val="none"/>
        </w:rPr>
        <w:t>分。</w:t>
      </w:r>
    </w:p>
    <w:p>
      <w:pPr>
        <w:pageBreakBefore w:val="0"/>
        <w:widowControl w:val="0"/>
        <w:kinsoku/>
        <w:wordWrap/>
        <w:topLinePunct w:val="0"/>
        <w:autoSpaceDE/>
        <w:autoSpaceDN/>
        <w:bidi w:val="0"/>
        <w:spacing w:after="0" w:afterAutospacing="0" w:line="560" w:lineRule="exact"/>
        <w:ind w:left="0" w:leftChars="0" w:firstLine="964" w:firstLineChars="300"/>
        <w:textAlignment w:val="auto"/>
        <w:rPr>
          <w:rFonts w:hint="eastAsia" w:ascii="仿宋_GB2312"/>
          <w:b/>
          <w:bCs/>
          <w:sz w:val="32"/>
          <w:highlight w:val="none"/>
          <w:lang w:val="en-US" w:eastAsia="zh-CN"/>
        </w:rPr>
      </w:pPr>
      <w:r>
        <w:rPr>
          <w:rFonts w:hint="eastAsia" w:ascii="仿宋_GB2312"/>
          <w:b/>
          <w:bCs/>
          <w:sz w:val="32"/>
          <w:highlight w:val="none"/>
          <w:lang w:val="en-US" w:eastAsia="zh-CN"/>
        </w:rPr>
        <w:t>4.产出成本</w:t>
      </w:r>
    </w:p>
    <w:p>
      <w:pPr>
        <w:keepNext w:val="0"/>
        <w:keepLines w:val="0"/>
        <w:pageBreakBefore w:val="0"/>
        <w:widowControl w:val="0"/>
        <w:numPr>
          <w:ilvl w:val="0"/>
          <w:numId w:val="0"/>
        </w:numPr>
        <w:kinsoku/>
        <w:wordWrap/>
        <w:overflowPunct/>
        <w:topLinePunct w:val="0"/>
        <w:autoSpaceDE/>
        <w:autoSpaceDN/>
        <w:bidi w:val="0"/>
        <w:adjustRightInd/>
        <w:snapToGrid/>
        <w:spacing w:after="0" w:afterAutospacing="0" w:line="560" w:lineRule="exact"/>
        <w:ind w:left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①经济成本指标</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cs="仿宋_GB2312"/>
          <w:b w:val="0"/>
          <w:bCs w:val="0"/>
          <w:kern w:val="2"/>
          <w:sz w:val="32"/>
          <w:szCs w:val="32"/>
          <w:highlight w:val="none"/>
          <w:lang w:val="en-US" w:eastAsia="zh-CN" w:bidi="ar-SA"/>
        </w:rPr>
        <w:t>消防水池主体工程</w:t>
      </w:r>
      <w:r>
        <w:rPr>
          <w:rFonts w:hint="eastAsia" w:ascii="仿宋_GB2312" w:hAnsi="仿宋_GB2312" w:eastAsia="仿宋_GB2312" w:cs="仿宋_GB2312"/>
          <w:b w:val="0"/>
          <w:bCs w:val="0"/>
          <w:kern w:val="2"/>
          <w:sz w:val="32"/>
          <w:szCs w:val="32"/>
          <w:highlight w:val="none"/>
          <w:lang w:val="en-US" w:eastAsia="zh-CN" w:bidi="ar-SA"/>
        </w:rPr>
        <w:t>（万元）”</w:t>
      </w:r>
      <w:r>
        <w:rPr>
          <w:rFonts w:hint="eastAsia" w:ascii="仿宋_GB2312" w:hAnsi="仿宋_GB2312" w:eastAsia="仿宋_GB2312" w:cs="仿宋_GB2312"/>
          <w:b w:val="0"/>
          <w:bCs w:val="0"/>
          <w:sz w:val="32"/>
          <w:szCs w:val="32"/>
          <w:highlight w:val="none"/>
        </w:rPr>
        <w:t>指标，预期指标值为“等于</w:t>
      </w:r>
      <w:r>
        <w:rPr>
          <w:rFonts w:hint="eastAsia" w:cs="仿宋_GB2312"/>
          <w:b w:val="0"/>
          <w:bCs w:val="0"/>
          <w:sz w:val="32"/>
          <w:szCs w:val="32"/>
          <w:highlight w:val="none"/>
          <w:lang w:val="en-US" w:eastAsia="zh-CN"/>
        </w:rPr>
        <w:t>25</w:t>
      </w:r>
      <w:r>
        <w:rPr>
          <w:rFonts w:hint="eastAsia" w:ascii="仿宋_GB2312" w:hAnsi="仿宋_GB2312" w:eastAsia="仿宋_GB2312" w:cs="仿宋_GB2312"/>
          <w:b w:val="0"/>
          <w:bCs w:val="0"/>
          <w:sz w:val="32"/>
          <w:szCs w:val="32"/>
          <w:highlight w:val="none"/>
        </w:rPr>
        <w:t>万元”；</w:t>
      </w:r>
      <w:r>
        <w:rPr>
          <w:rFonts w:hint="eastAsia" w:ascii="仿宋_GB2312" w:hAnsi="仿宋_GB2312" w:cs="仿宋_GB2312"/>
          <w:color w:val="000000" w:themeColor="text1"/>
          <w:sz w:val="32"/>
          <w:szCs w:val="32"/>
          <w:highlight w:val="none"/>
          <w14:textFill>
            <w14:solidFill>
              <w14:schemeClr w14:val="tx1"/>
            </w14:solidFill>
          </w14:textFill>
        </w:rPr>
        <w:t>根据项目合同和资金支付凭证显示，本项目2023年</w:t>
      </w:r>
      <w:r>
        <w:rPr>
          <w:rFonts w:hint="eastAsia" w:ascii="仿宋_GB2312" w:hAnsi="仿宋_GB2312" w:cs="仿宋_GB2312"/>
          <w:color w:val="000000" w:themeColor="text1"/>
          <w:sz w:val="32"/>
          <w:szCs w:val="32"/>
          <w:highlight w:val="none"/>
          <w:lang w:eastAsia="zh-CN"/>
          <w14:textFill>
            <w14:solidFill>
              <w14:schemeClr w14:val="tx1"/>
            </w14:solidFill>
          </w14:textFill>
        </w:rPr>
        <w:t>支付</w:t>
      </w:r>
      <w:r>
        <w:rPr>
          <w:rFonts w:hint="eastAsia" w:ascii="仿宋_GB2312" w:hAnsi="仿宋_GB2312" w:eastAsia="仿宋_GB2312" w:cs="仿宋_GB2312"/>
          <w:b w:val="0"/>
          <w:bCs w:val="0"/>
          <w:kern w:val="2"/>
          <w:sz w:val="32"/>
          <w:szCs w:val="32"/>
          <w:highlight w:val="none"/>
          <w:lang w:val="en-US" w:eastAsia="zh-CN" w:bidi="ar-SA"/>
        </w:rPr>
        <w:t>学生宿舍粉刷资金</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25</w:t>
      </w:r>
      <w:r>
        <w:rPr>
          <w:rFonts w:hint="eastAsia" w:ascii="仿宋_GB2312" w:hAnsi="仿宋_GB2312" w:cs="仿宋_GB2312"/>
          <w:color w:val="000000" w:themeColor="text1"/>
          <w:sz w:val="32"/>
          <w:szCs w:val="32"/>
          <w:highlight w:val="none"/>
          <w14:textFill>
            <w14:solidFill>
              <w14:schemeClr w14:val="tx1"/>
            </w14:solidFill>
          </w14:textFill>
        </w:rPr>
        <w:t>万元，经费支出能够控制在年度计划成本范围内，</w:t>
      </w:r>
      <w:r>
        <w:rPr>
          <w:rFonts w:hint="eastAsia" w:ascii="仿宋_GB2312" w:cs="仿宋_GB2312"/>
          <w:sz w:val="32"/>
          <w:szCs w:val="32"/>
          <w:highlight w:val="none"/>
        </w:rPr>
        <w:t>根据评分标准，该指标</w:t>
      </w:r>
      <w:r>
        <w:rPr>
          <w:rFonts w:hint="eastAsia" w:ascii="仿宋_GB2312" w:cs="仿宋_GB2312"/>
          <w:sz w:val="32"/>
          <w:szCs w:val="32"/>
          <w:highlight w:val="none"/>
          <w:lang w:val="en-US" w:eastAsia="zh-CN"/>
        </w:rPr>
        <w:t>3</w:t>
      </w:r>
      <w:r>
        <w:rPr>
          <w:rFonts w:hint="eastAsia" w:ascii="仿宋_GB2312" w:cs="仿宋_GB2312"/>
          <w:sz w:val="32"/>
          <w:szCs w:val="32"/>
          <w:highlight w:val="none"/>
        </w:rPr>
        <w:t>分，得</w:t>
      </w:r>
      <w:r>
        <w:rPr>
          <w:rFonts w:hint="eastAsia" w:ascii="仿宋_GB2312" w:cs="仿宋_GB2312"/>
          <w:sz w:val="32"/>
          <w:szCs w:val="32"/>
          <w:highlight w:val="none"/>
          <w:lang w:val="en-US" w:eastAsia="zh-CN"/>
        </w:rPr>
        <w:t>3</w:t>
      </w:r>
      <w:r>
        <w:rPr>
          <w:rFonts w:hint="eastAsia" w:ascii="仿宋_GB2312" w:cs="仿宋_GB2312"/>
          <w:sz w:val="32"/>
          <w:szCs w:val="32"/>
          <w:highlight w:val="none"/>
        </w:rPr>
        <w:t>分。</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cs="仿宋_GB2312"/>
          <w:b w:val="0"/>
          <w:bCs w:val="0"/>
          <w:kern w:val="2"/>
          <w:sz w:val="32"/>
          <w:szCs w:val="32"/>
          <w:highlight w:val="none"/>
          <w:lang w:val="en-US" w:eastAsia="zh-CN" w:bidi="ar-SA"/>
        </w:rPr>
        <w:t>消防水池附属工程</w:t>
      </w:r>
      <w:r>
        <w:rPr>
          <w:rFonts w:hint="eastAsia" w:ascii="仿宋_GB2312" w:hAnsi="仿宋_GB2312" w:eastAsia="仿宋_GB2312" w:cs="仿宋_GB2312"/>
          <w:b w:val="0"/>
          <w:bCs w:val="0"/>
          <w:kern w:val="2"/>
          <w:sz w:val="32"/>
          <w:szCs w:val="32"/>
          <w:highlight w:val="none"/>
          <w:lang w:val="en-US" w:eastAsia="zh-CN" w:bidi="ar-SA"/>
        </w:rPr>
        <w:t>（万元</w:t>
      </w:r>
      <w:r>
        <w:rPr>
          <w:rFonts w:hint="eastAsia" w:cs="仿宋_GB2312"/>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b w:val="0"/>
          <w:bCs w:val="0"/>
          <w:sz w:val="32"/>
          <w:szCs w:val="32"/>
          <w:highlight w:val="none"/>
        </w:rPr>
        <w:t>指标，预期指标值为“等于</w:t>
      </w:r>
      <w:r>
        <w:rPr>
          <w:rFonts w:hint="eastAsia"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万元”；</w:t>
      </w:r>
      <w:r>
        <w:rPr>
          <w:rFonts w:hint="eastAsia" w:ascii="仿宋_GB2312" w:hAnsi="仿宋_GB2312" w:cs="仿宋_GB2312"/>
          <w:color w:val="000000" w:themeColor="text1"/>
          <w:sz w:val="32"/>
          <w:szCs w:val="32"/>
          <w:highlight w:val="none"/>
          <w14:textFill>
            <w14:solidFill>
              <w14:schemeClr w14:val="tx1"/>
            </w14:solidFill>
          </w14:textFill>
        </w:rPr>
        <w:t>根据项目合同和资金支付凭证显示，本项目2023年</w:t>
      </w:r>
      <w:r>
        <w:rPr>
          <w:rFonts w:hint="eastAsia" w:ascii="仿宋_GB2312" w:hAnsi="仿宋_GB2312" w:cs="仿宋_GB2312"/>
          <w:color w:val="000000" w:themeColor="text1"/>
          <w:sz w:val="32"/>
          <w:szCs w:val="32"/>
          <w:highlight w:val="none"/>
          <w:lang w:eastAsia="zh-CN"/>
          <w14:textFill>
            <w14:solidFill>
              <w14:schemeClr w14:val="tx1"/>
            </w14:solidFill>
          </w14:textFill>
        </w:rPr>
        <w:t>支付</w:t>
      </w:r>
      <w:r>
        <w:rPr>
          <w:rFonts w:hint="eastAsia" w:ascii="仿宋_GB2312" w:hAnsi="仿宋_GB2312" w:eastAsia="仿宋_GB2312" w:cs="仿宋_GB2312"/>
          <w:b w:val="0"/>
          <w:bCs w:val="0"/>
          <w:kern w:val="2"/>
          <w:sz w:val="32"/>
          <w:szCs w:val="32"/>
          <w:highlight w:val="none"/>
          <w:lang w:val="en-US" w:eastAsia="zh-CN" w:bidi="ar-SA"/>
        </w:rPr>
        <w:t>教室门窗把手更换维修资金</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cs="仿宋_GB2312"/>
          <w:color w:val="000000" w:themeColor="text1"/>
          <w:sz w:val="32"/>
          <w:szCs w:val="32"/>
          <w:highlight w:val="none"/>
          <w14:textFill>
            <w14:solidFill>
              <w14:schemeClr w14:val="tx1"/>
            </w14:solidFill>
          </w14:textFill>
        </w:rPr>
        <w:t>万元，经费支出能够控制在年度计划成本范围内，</w:t>
      </w:r>
      <w:r>
        <w:rPr>
          <w:rFonts w:hint="eastAsia" w:ascii="仿宋_GB2312" w:cs="仿宋_GB2312"/>
          <w:sz w:val="32"/>
          <w:szCs w:val="32"/>
          <w:highlight w:val="none"/>
        </w:rPr>
        <w:t>根据评分标准，该指标</w:t>
      </w:r>
      <w:r>
        <w:rPr>
          <w:rFonts w:hint="eastAsia" w:ascii="仿宋_GB2312" w:cs="仿宋_GB2312"/>
          <w:sz w:val="32"/>
          <w:szCs w:val="32"/>
          <w:highlight w:val="none"/>
          <w:lang w:val="en-US" w:eastAsia="zh-CN"/>
        </w:rPr>
        <w:t>3</w:t>
      </w:r>
      <w:r>
        <w:rPr>
          <w:rFonts w:hint="eastAsia" w:ascii="仿宋_GB2312" w:cs="仿宋_GB2312"/>
          <w:sz w:val="32"/>
          <w:szCs w:val="32"/>
          <w:highlight w:val="none"/>
        </w:rPr>
        <w:t>分，得</w:t>
      </w:r>
      <w:r>
        <w:rPr>
          <w:rFonts w:hint="eastAsia" w:ascii="仿宋_GB2312" w:cs="仿宋_GB2312"/>
          <w:sz w:val="32"/>
          <w:szCs w:val="32"/>
          <w:highlight w:val="none"/>
          <w:lang w:val="en-US" w:eastAsia="zh-CN"/>
        </w:rPr>
        <w:t>3</w:t>
      </w:r>
      <w:r>
        <w:rPr>
          <w:rFonts w:hint="eastAsia" w:ascii="仿宋_GB2312" w:cs="仿宋_GB2312"/>
          <w:sz w:val="32"/>
          <w:szCs w:val="32"/>
          <w:highlight w:val="none"/>
        </w:rPr>
        <w:t>分。</w:t>
      </w:r>
    </w:p>
    <w:p>
      <w:pPr>
        <w:pStyle w:val="4"/>
        <w:pageBreakBefore w:val="0"/>
        <w:widowControl w:val="0"/>
        <w:kinsoku/>
        <w:wordWrap/>
        <w:topLinePunct w:val="0"/>
        <w:autoSpaceDE/>
        <w:autoSpaceDN/>
        <w:bidi w:val="0"/>
        <w:spacing w:after="0" w:afterAutospacing="0" w:line="560" w:lineRule="exact"/>
        <w:ind w:left="0" w:leftChars="0" w:firstLine="643" w:firstLineChars="200"/>
        <w:textAlignment w:val="auto"/>
        <w:rPr>
          <w:rFonts w:ascii="楷体_GB2312" w:eastAsia="楷体_GB2312"/>
          <w:szCs w:val="32"/>
          <w:highlight w:val="none"/>
        </w:rPr>
      </w:pPr>
      <w:r>
        <w:rPr>
          <w:rFonts w:hint="eastAsia" w:ascii="楷体_GB2312" w:eastAsia="楷体_GB2312"/>
          <w:szCs w:val="32"/>
          <w:highlight w:val="none"/>
        </w:rPr>
        <w:t>（四）项目效益情况</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hAnsi="仿宋_GB2312" w:eastAsia="仿宋_GB2312" w:cs="仿宋_GB2312"/>
          <w:color w:val="000000"/>
          <w:sz w:val="32"/>
          <w:szCs w:val="32"/>
          <w:highlight w:val="none"/>
          <w:u w:color="000000"/>
          <w:lang w:val="zh-TW" w:eastAsia="zh-TW"/>
        </w:rPr>
      </w:pPr>
      <w:r>
        <w:rPr>
          <w:rFonts w:hint="eastAsia" w:ascii="仿宋_GB2312" w:hAnsi="仿宋_GB2312" w:eastAsia="仿宋_GB2312" w:cs="仿宋_GB2312"/>
          <w:color w:val="000000"/>
          <w:sz w:val="32"/>
          <w:szCs w:val="32"/>
          <w:highlight w:val="none"/>
          <w:u w:color="000000"/>
          <w:lang w:val="zh-TW" w:eastAsia="zh-TW"/>
        </w:rPr>
        <w:t>项目</w:t>
      </w:r>
      <w:r>
        <w:rPr>
          <w:rFonts w:hint="eastAsia" w:ascii="仿宋_GB2312" w:hAnsi="仿宋_GB2312" w:eastAsia="仿宋_GB2312" w:cs="仿宋_GB2312"/>
          <w:sz w:val="32"/>
          <w:szCs w:val="32"/>
          <w:highlight w:val="none"/>
        </w:rPr>
        <w:t>效益</w:t>
      </w:r>
      <w:r>
        <w:rPr>
          <w:rFonts w:hint="eastAsia" w:ascii="仿宋_GB2312" w:hAnsi="仿宋_GB2312" w:eastAsia="仿宋_GB2312" w:cs="仿宋_GB2312"/>
          <w:color w:val="000000"/>
          <w:sz w:val="32"/>
          <w:szCs w:val="32"/>
          <w:highlight w:val="none"/>
          <w:u w:color="000000"/>
          <w:lang w:val="zh-TW" w:eastAsia="zh-TW"/>
        </w:rPr>
        <w:t>类指标由社会效益</w:t>
      </w:r>
      <w:r>
        <w:rPr>
          <w:rFonts w:hint="eastAsia" w:ascii="仿宋_GB2312" w:hAnsi="仿宋_GB2312" w:eastAsia="仿宋_GB2312" w:cs="仿宋_GB2312"/>
          <w:color w:val="000000"/>
          <w:sz w:val="32"/>
          <w:szCs w:val="32"/>
          <w:highlight w:val="none"/>
          <w:u w:color="000000"/>
          <w:lang w:val="zh-TW"/>
        </w:rPr>
        <w:t>，</w:t>
      </w:r>
      <w:r>
        <w:rPr>
          <w:rFonts w:hint="eastAsia" w:ascii="仿宋_GB2312" w:hAnsi="仿宋_GB2312" w:eastAsia="仿宋_GB2312" w:cs="仿宋_GB2312"/>
          <w:color w:val="000000"/>
          <w:sz w:val="32"/>
          <w:szCs w:val="32"/>
          <w:highlight w:val="none"/>
          <w:u w:color="000000"/>
          <w:lang w:val="en-US" w:eastAsia="zh-CN"/>
        </w:rPr>
        <w:t>1</w:t>
      </w:r>
      <w:r>
        <w:rPr>
          <w:rFonts w:hint="eastAsia" w:ascii="仿宋_GB2312" w:hAnsi="仿宋_GB2312" w:eastAsia="仿宋_GB2312" w:cs="仿宋_GB2312"/>
          <w:color w:val="000000"/>
          <w:sz w:val="32"/>
          <w:szCs w:val="32"/>
          <w:highlight w:val="none"/>
          <w:u w:color="000000"/>
          <w:lang w:val="zh-TW" w:eastAsia="zh-TW"/>
        </w:rPr>
        <w:t>个二级指标构成，权重分为20分，本项目实际得分20分，得分率为100%。具体各项指标得分如下：</w:t>
      </w:r>
    </w:p>
    <w:p>
      <w:pPr>
        <w:pageBreakBefore w:val="0"/>
        <w:widowControl w:val="0"/>
        <w:kinsoku/>
        <w:wordWrap/>
        <w:topLinePunct w:val="0"/>
        <w:autoSpaceDE/>
        <w:autoSpaceDN/>
        <w:bidi w:val="0"/>
        <w:spacing w:after="0" w:afterAutospacing="0" w:line="560" w:lineRule="exact"/>
        <w:ind w:left="0" w:leftChars="0" w:firstLine="964" w:firstLineChars="300"/>
        <w:textAlignment w:val="auto"/>
        <w:rPr>
          <w:rFonts w:hint="eastAsia" w:ascii="仿宋_GB2312"/>
          <w:b/>
          <w:bCs/>
          <w:sz w:val="32"/>
          <w:highlight w:val="none"/>
          <w:lang w:val="en-US" w:eastAsia="zh-CN"/>
        </w:rPr>
      </w:pPr>
      <w:r>
        <w:rPr>
          <w:rFonts w:hint="eastAsia" w:ascii="仿宋_GB2312"/>
          <w:b/>
          <w:bCs/>
          <w:sz w:val="32"/>
          <w:highlight w:val="none"/>
          <w:lang w:val="en-US" w:eastAsia="zh-CN"/>
        </w:rPr>
        <w:t>1.社会效益指标</w:t>
      </w:r>
    </w:p>
    <w:p>
      <w:pPr>
        <w:pageBreakBefore w:val="0"/>
        <w:widowControl w:val="0"/>
        <w:kinsoku/>
        <w:wordWrap/>
        <w:topLinePunct w:val="0"/>
        <w:autoSpaceDE/>
        <w:autoSpaceDN/>
        <w:bidi w:val="0"/>
        <w:spacing w:after="0" w:afterAutospacing="0" w:line="560" w:lineRule="exact"/>
        <w:ind w:left="0" w:leftChars="0" w:firstLine="640"/>
        <w:textAlignment w:val="auto"/>
        <w:rPr>
          <w:rFonts w:hint="eastAsia" w:ascii="仿宋_GB2312" w:hAnsi="仿宋_GB2312" w:eastAsia="仿宋_GB2312" w:cs="仿宋_GB2312"/>
          <w:highlight w:val="none"/>
        </w:rPr>
      </w:pPr>
      <w:r>
        <w:rPr>
          <w:rFonts w:hint="eastAsia" w:ascii="仿宋_GB2312" w:hAnsi="仿宋_GB2312" w:eastAsia="仿宋_GB2312" w:cs="仿宋_GB2312"/>
          <w:sz w:val="32"/>
          <w:szCs w:val="32"/>
          <w:highlight w:val="none"/>
        </w:rPr>
        <w:t>“提高教学环境”指标，预期指标值为“有效提高”，根据本单位年度考核情况，实际完成值为“</w:t>
      </w:r>
      <w:r>
        <w:rPr>
          <w:rFonts w:hint="eastAsia" w:ascii="仿宋_GB2312" w:hAnsi="仿宋_GB2312" w:cs="仿宋_GB2312"/>
          <w:sz w:val="32"/>
          <w:szCs w:val="32"/>
          <w:highlight w:val="none"/>
          <w:lang w:val="en-US" w:eastAsia="zh-CN"/>
        </w:rPr>
        <w:t>基本达成目标</w:t>
      </w:r>
      <w:r>
        <w:rPr>
          <w:rFonts w:hint="eastAsia" w:ascii="仿宋_GB2312" w:hAnsi="仿宋_GB2312" w:eastAsia="仿宋_GB2312" w:cs="仿宋_GB2312"/>
          <w:sz w:val="32"/>
          <w:szCs w:val="32"/>
          <w:highlight w:val="none"/>
        </w:rPr>
        <w:t>”，根据评分标准，该指标</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分，得</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w:t>
      </w:r>
    </w:p>
    <w:p>
      <w:pPr>
        <w:pageBreakBefore w:val="0"/>
        <w:widowControl w:val="0"/>
        <w:kinsoku/>
        <w:wordWrap/>
        <w:topLinePunct w:val="0"/>
        <w:autoSpaceDE/>
        <w:autoSpaceDN/>
        <w:bidi w:val="0"/>
        <w:spacing w:after="0" w:afterAutospacing="0" w:line="560" w:lineRule="exact"/>
        <w:ind w:left="0" w:leftChars="0" w:firstLine="964" w:firstLineChars="300"/>
        <w:textAlignment w:val="auto"/>
        <w:rPr>
          <w:rFonts w:hint="eastAsia" w:ascii="仿宋_GB2312"/>
          <w:b/>
          <w:bCs/>
          <w:sz w:val="32"/>
          <w:highlight w:val="none"/>
          <w:lang w:val="en-US" w:eastAsia="zh-CN"/>
        </w:rPr>
      </w:pPr>
      <w:r>
        <w:rPr>
          <w:rFonts w:hint="eastAsia" w:ascii="仿宋_GB2312"/>
          <w:b/>
          <w:bCs/>
          <w:sz w:val="32"/>
          <w:highlight w:val="none"/>
          <w:lang w:val="en-US" w:eastAsia="zh-CN"/>
        </w:rPr>
        <w:t>2.经济效益指标</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color w:val="FF0000"/>
          <w:sz w:val="32"/>
          <w:szCs w:val="32"/>
          <w:highlight w:val="none"/>
        </w:rPr>
      </w:pPr>
      <w:r>
        <w:rPr>
          <w:rFonts w:hint="eastAsia" w:ascii="仿宋_GB2312"/>
          <w:sz w:val="32"/>
          <w:szCs w:val="32"/>
          <w:highlight w:val="none"/>
        </w:rPr>
        <w:t>本项目无该项指标。</w:t>
      </w:r>
    </w:p>
    <w:p>
      <w:pPr>
        <w:pageBreakBefore w:val="0"/>
        <w:widowControl w:val="0"/>
        <w:kinsoku/>
        <w:wordWrap/>
        <w:topLinePunct w:val="0"/>
        <w:autoSpaceDE/>
        <w:autoSpaceDN/>
        <w:bidi w:val="0"/>
        <w:spacing w:after="0" w:afterAutospacing="0" w:line="560" w:lineRule="exact"/>
        <w:ind w:left="0" w:leftChars="0" w:firstLine="964" w:firstLineChars="300"/>
        <w:textAlignment w:val="auto"/>
        <w:rPr>
          <w:rFonts w:hint="eastAsia" w:ascii="仿宋_GB2312"/>
          <w:b/>
          <w:bCs/>
          <w:sz w:val="32"/>
          <w:highlight w:val="none"/>
          <w:lang w:val="en-US" w:eastAsia="zh-CN"/>
        </w:rPr>
      </w:pPr>
      <w:r>
        <w:rPr>
          <w:rFonts w:hint="eastAsia" w:ascii="仿宋_GB2312"/>
          <w:b/>
          <w:bCs/>
          <w:sz w:val="32"/>
          <w:highlight w:val="none"/>
          <w:lang w:val="en-US" w:eastAsia="zh-CN"/>
        </w:rPr>
        <w:t>3.生态效益指标</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b/>
          <w:color w:val="FF0000"/>
          <w:sz w:val="32"/>
          <w:szCs w:val="32"/>
          <w:highlight w:val="none"/>
        </w:rPr>
      </w:pPr>
      <w:r>
        <w:rPr>
          <w:rFonts w:hint="eastAsia" w:ascii="仿宋_GB2312"/>
          <w:sz w:val="32"/>
          <w:szCs w:val="32"/>
          <w:highlight w:val="none"/>
        </w:rPr>
        <w:t>本项目无该项指标。</w:t>
      </w:r>
    </w:p>
    <w:p>
      <w:pPr>
        <w:pStyle w:val="4"/>
        <w:pageBreakBefore w:val="0"/>
        <w:widowControl w:val="0"/>
        <w:kinsoku/>
        <w:wordWrap/>
        <w:topLinePunct w:val="0"/>
        <w:autoSpaceDE/>
        <w:autoSpaceDN/>
        <w:bidi w:val="0"/>
        <w:spacing w:after="0" w:afterAutospacing="0" w:line="560" w:lineRule="exact"/>
        <w:ind w:left="0" w:leftChars="0" w:firstLine="643" w:firstLineChars="200"/>
        <w:textAlignment w:val="auto"/>
        <w:rPr>
          <w:rFonts w:ascii="楷体_GB2312" w:eastAsia="楷体_GB2312"/>
          <w:szCs w:val="32"/>
          <w:highlight w:val="none"/>
        </w:rPr>
      </w:pPr>
      <w:r>
        <w:rPr>
          <w:rFonts w:hint="eastAsia" w:ascii="楷体_GB2312" w:eastAsia="楷体_GB2312"/>
          <w:szCs w:val="32"/>
          <w:highlight w:val="none"/>
        </w:rPr>
        <w:t>（五）满意度指标完成情况分析</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hAnsi="仿宋_GB2312" w:cs="仿宋_GB2312"/>
          <w:color w:val="auto"/>
          <w:kern w:val="2"/>
          <w:sz w:val="32"/>
          <w:szCs w:val="32"/>
          <w:highlight w:val="none"/>
        </w:rPr>
      </w:pPr>
      <w:bookmarkStart w:id="15" w:name="_Toc28290"/>
      <w:bookmarkStart w:id="16" w:name="_Toc1921"/>
      <w:r>
        <w:rPr>
          <w:rFonts w:hint="eastAsia" w:ascii="仿宋_GB2312" w:hAnsi="仿宋_GB2312" w:cs="仿宋_GB2312"/>
          <w:color w:val="auto"/>
          <w:kern w:val="2"/>
          <w:sz w:val="32"/>
          <w:szCs w:val="32"/>
          <w:highlight w:val="none"/>
        </w:rPr>
        <w:t>“教师满意度（%）”指标，预期指标值为“大于等于95%”，</w:t>
      </w:r>
      <w:r>
        <w:rPr>
          <w:rFonts w:hint="eastAsia" w:ascii="仿宋_GB2312" w:cs="仿宋_GB2312"/>
          <w:color w:val="auto"/>
          <w:sz w:val="32"/>
          <w:szCs w:val="32"/>
          <w:highlight w:val="none"/>
        </w:rPr>
        <w:t>根据评分标准，</w:t>
      </w:r>
      <w:r>
        <w:rPr>
          <w:rFonts w:hint="eastAsia" w:ascii="仿宋_GB2312" w:hAnsi="仿宋_GB2312" w:cs="仿宋_GB2312"/>
          <w:color w:val="auto"/>
          <w:kern w:val="2"/>
          <w:sz w:val="32"/>
          <w:szCs w:val="32"/>
          <w:highlight w:val="none"/>
        </w:rPr>
        <w:t>根据</w:t>
      </w:r>
      <w:r>
        <w:rPr>
          <w:rFonts w:hint="eastAsia" w:ascii="仿宋_GB2312" w:hAnsi="仿宋_GB2312" w:cs="仿宋_GB2312"/>
          <w:color w:val="auto"/>
          <w:kern w:val="2"/>
          <w:sz w:val="32"/>
          <w:szCs w:val="32"/>
          <w:highlight w:val="none"/>
          <w:lang w:eastAsia="zh-CN"/>
        </w:rPr>
        <w:t>教师和</w:t>
      </w:r>
      <w:r>
        <w:rPr>
          <w:rFonts w:hint="eastAsia" w:ascii="仿宋_GB2312" w:hAnsi="仿宋_GB2312" w:cs="仿宋_GB2312"/>
          <w:color w:val="auto"/>
          <w:kern w:val="2"/>
          <w:sz w:val="32"/>
          <w:szCs w:val="32"/>
          <w:highlight w:val="none"/>
        </w:rPr>
        <w:t>学生进行满意度问卷调查的结果可知，</w:t>
      </w:r>
      <w:r>
        <w:rPr>
          <w:rFonts w:hint="eastAsia" w:ascii="仿宋_GB2312" w:hAnsi="仿宋_GB2312" w:cs="仿宋_GB2312"/>
          <w:color w:val="auto"/>
          <w:kern w:val="2"/>
          <w:sz w:val="32"/>
          <w:szCs w:val="32"/>
          <w:highlight w:val="none"/>
          <w:lang w:eastAsia="zh-CN"/>
        </w:rPr>
        <w:t>教师</w:t>
      </w:r>
      <w:r>
        <w:rPr>
          <w:rFonts w:hint="eastAsia" w:ascii="仿宋_GB2312" w:hAnsi="仿宋_GB2312" w:cs="仿宋_GB2312"/>
          <w:color w:val="auto"/>
          <w:kern w:val="2"/>
          <w:sz w:val="32"/>
          <w:szCs w:val="32"/>
          <w:highlight w:val="none"/>
        </w:rPr>
        <w:t>满意度达95%，根据评分标准，</w:t>
      </w:r>
      <w:r>
        <w:rPr>
          <w:rFonts w:hint="eastAsia" w:ascii="仿宋_GB2312" w:cs="仿宋_GB2312"/>
          <w:color w:val="auto"/>
          <w:sz w:val="32"/>
          <w:szCs w:val="32"/>
          <w:highlight w:val="none"/>
        </w:rPr>
        <w:t>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pPr>
        <w:pageBreakBefore w:val="0"/>
        <w:widowControl w:val="0"/>
        <w:kinsoku/>
        <w:wordWrap/>
        <w:overflowPunct w:val="0"/>
        <w:topLinePunct w:val="0"/>
        <w:autoSpaceDE/>
        <w:autoSpaceDN/>
        <w:bidi w:val="0"/>
        <w:spacing w:after="0" w:afterAutospacing="0" w:line="560" w:lineRule="exact"/>
        <w:ind w:left="0" w:leftChars="0" w:firstLine="640"/>
        <w:contextualSpacing/>
        <w:textAlignment w:val="auto"/>
        <w:rPr>
          <w:rFonts w:hint="eastAsia" w:ascii="仿宋_GB2312" w:cs="仿宋_GB2312"/>
          <w:color w:val="auto"/>
          <w:sz w:val="32"/>
          <w:szCs w:val="32"/>
          <w:highlight w:val="none"/>
        </w:rPr>
      </w:pPr>
      <w:r>
        <w:rPr>
          <w:rFonts w:hint="eastAsia" w:ascii="仿宋_GB2312" w:hAnsi="仿宋_GB2312" w:cs="仿宋_GB2312"/>
          <w:color w:val="auto"/>
          <w:kern w:val="2"/>
          <w:sz w:val="32"/>
          <w:szCs w:val="32"/>
          <w:highlight w:val="none"/>
        </w:rPr>
        <w:t>“学校生满意度（%）”指标，预期指标值为“大于等于9</w:t>
      </w:r>
      <w:r>
        <w:rPr>
          <w:rFonts w:hint="eastAsia" w:ascii="仿宋_GB2312" w:hAnsi="仿宋_GB2312" w:cs="仿宋_GB2312"/>
          <w:color w:val="auto"/>
          <w:kern w:val="2"/>
          <w:sz w:val="32"/>
          <w:szCs w:val="32"/>
          <w:highlight w:val="none"/>
          <w:lang w:val="en-US" w:eastAsia="zh-CN"/>
        </w:rPr>
        <w:t>6</w:t>
      </w:r>
      <w:r>
        <w:rPr>
          <w:rFonts w:hint="eastAsia" w:ascii="仿宋_GB2312" w:hAnsi="仿宋_GB2312" w:cs="仿宋_GB2312"/>
          <w:color w:val="auto"/>
          <w:kern w:val="2"/>
          <w:sz w:val="32"/>
          <w:szCs w:val="32"/>
          <w:highlight w:val="none"/>
        </w:rPr>
        <w:t>%”</w:t>
      </w:r>
      <w:r>
        <w:rPr>
          <w:rFonts w:hint="eastAsia" w:ascii="仿宋_GB2312" w:cs="仿宋_GB2312"/>
          <w:color w:val="auto"/>
          <w:sz w:val="32"/>
          <w:szCs w:val="32"/>
          <w:highlight w:val="none"/>
        </w:rPr>
        <w:t>根据评分标准，</w:t>
      </w:r>
      <w:r>
        <w:rPr>
          <w:rFonts w:hint="eastAsia" w:ascii="仿宋_GB2312" w:hAnsi="仿宋_GB2312" w:cs="仿宋_GB2312"/>
          <w:color w:val="auto"/>
          <w:kern w:val="2"/>
          <w:sz w:val="32"/>
          <w:szCs w:val="32"/>
          <w:highlight w:val="none"/>
        </w:rPr>
        <w:t>根据</w:t>
      </w:r>
      <w:r>
        <w:rPr>
          <w:rFonts w:hint="eastAsia" w:ascii="仿宋_GB2312" w:hAnsi="仿宋_GB2312" w:cs="仿宋_GB2312"/>
          <w:color w:val="auto"/>
          <w:kern w:val="2"/>
          <w:sz w:val="32"/>
          <w:szCs w:val="32"/>
          <w:highlight w:val="none"/>
          <w:lang w:eastAsia="zh-CN"/>
        </w:rPr>
        <w:t>教师和</w:t>
      </w:r>
      <w:r>
        <w:rPr>
          <w:rFonts w:hint="eastAsia" w:ascii="仿宋_GB2312" w:hAnsi="仿宋_GB2312" w:cs="仿宋_GB2312"/>
          <w:color w:val="auto"/>
          <w:kern w:val="2"/>
          <w:sz w:val="32"/>
          <w:szCs w:val="32"/>
          <w:highlight w:val="none"/>
        </w:rPr>
        <w:t>学生进行满意度问卷调查的结果可知，学生满意度达9</w:t>
      </w:r>
      <w:r>
        <w:rPr>
          <w:rFonts w:hint="eastAsia" w:ascii="仿宋_GB2312" w:hAnsi="仿宋_GB2312" w:cs="仿宋_GB2312"/>
          <w:color w:val="auto"/>
          <w:kern w:val="2"/>
          <w:sz w:val="32"/>
          <w:szCs w:val="32"/>
          <w:highlight w:val="none"/>
          <w:lang w:val="en-US" w:eastAsia="zh-CN"/>
        </w:rPr>
        <w:t>6</w:t>
      </w:r>
      <w:r>
        <w:rPr>
          <w:rFonts w:hint="eastAsia" w:ascii="仿宋_GB2312" w:hAnsi="仿宋_GB2312" w:cs="仿宋_GB2312"/>
          <w:color w:val="auto"/>
          <w:kern w:val="2"/>
          <w:sz w:val="32"/>
          <w:szCs w:val="32"/>
          <w:highlight w:val="none"/>
        </w:rPr>
        <w:t>%，根据评分标准，</w:t>
      </w:r>
      <w:r>
        <w:rPr>
          <w:rFonts w:hint="eastAsia" w:ascii="仿宋_GB2312" w:cs="仿宋_GB2312"/>
          <w:color w:val="auto"/>
          <w:sz w:val="32"/>
          <w:szCs w:val="32"/>
          <w:highlight w:val="none"/>
        </w:rPr>
        <w:t>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pPr>
        <w:pStyle w:val="3"/>
        <w:pageBreakBefore w:val="0"/>
        <w:widowControl w:val="0"/>
        <w:kinsoku/>
        <w:wordWrap/>
        <w:topLinePunct w:val="0"/>
        <w:autoSpaceDE/>
        <w:autoSpaceDN/>
        <w:bidi w:val="0"/>
        <w:spacing w:after="0" w:afterAutospacing="0" w:line="560" w:lineRule="exact"/>
        <w:ind w:left="0" w:leftChars="0" w:firstLine="640"/>
        <w:textAlignment w:val="auto"/>
        <w:rPr>
          <w:szCs w:val="32"/>
          <w:highlight w:val="none"/>
        </w:rPr>
      </w:pPr>
      <w:r>
        <w:rPr>
          <w:rFonts w:hint="eastAsia"/>
          <w:szCs w:val="32"/>
          <w:highlight w:val="none"/>
        </w:rPr>
        <w:t>五、预算执行进度与绩效指标偏差情况</w:t>
      </w:r>
    </w:p>
    <w:p>
      <w:pPr>
        <w:pStyle w:val="4"/>
        <w:pageBreakBefore w:val="0"/>
        <w:widowControl w:val="0"/>
        <w:numPr>
          <w:ilvl w:val="0"/>
          <w:numId w:val="0"/>
        </w:numPr>
        <w:kinsoku/>
        <w:wordWrap/>
        <w:topLinePunct w:val="0"/>
        <w:autoSpaceDE/>
        <w:autoSpaceDN/>
        <w:bidi w:val="0"/>
        <w:spacing w:after="0" w:afterAutospacing="0" w:line="560" w:lineRule="exact"/>
        <w:ind w:leftChars="200"/>
        <w:textAlignment w:val="auto"/>
        <w:rPr>
          <w:rFonts w:ascii="楷体_GB2312" w:eastAsia="楷体_GB2312"/>
          <w:szCs w:val="32"/>
          <w:highlight w:val="none"/>
        </w:rPr>
      </w:pPr>
      <w:r>
        <w:rPr>
          <w:rFonts w:hint="eastAsia" w:ascii="楷体_GB2312" w:eastAsia="楷体_GB2312"/>
          <w:szCs w:val="32"/>
          <w:highlight w:val="none"/>
          <w:lang w:val="en-US" w:eastAsia="zh-CN"/>
        </w:rPr>
        <w:t>(一)</w:t>
      </w:r>
      <w:r>
        <w:rPr>
          <w:rFonts w:hint="eastAsia" w:ascii="楷体_GB2312" w:eastAsia="楷体_GB2312"/>
          <w:szCs w:val="32"/>
          <w:highlight w:val="none"/>
        </w:rPr>
        <w:t>预算执行进度</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sz w:val="32"/>
          <w:szCs w:val="32"/>
          <w:highlight w:val="none"/>
        </w:rPr>
      </w:pPr>
      <w:r>
        <w:rPr>
          <w:rFonts w:hint="eastAsia" w:ascii="仿宋_GB2312" w:hAnsi="仿宋_GB2312" w:cs="仿宋_GB2312"/>
          <w:color w:val="000000" w:themeColor="text1"/>
          <w:kern w:val="2"/>
          <w:sz w:val="32"/>
          <w:szCs w:val="32"/>
          <w:highlight w:val="none"/>
          <w14:textFill>
            <w14:solidFill>
              <w14:schemeClr w14:val="tx1"/>
            </w14:solidFill>
          </w14:textFill>
        </w:rPr>
        <w:t>城乡义务教育补助经费中央直达（校舍安全保障资金）项目预算金额</w:t>
      </w:r>
      <w:r>
        <w:rPr>
          <w:rFonts w:hint="eastAsia" w:ascii="仿宋_GB2312" w:hAnsi="仿宋_GB2312" w:cs="仿宋_GB2312"/>
          <w:color w:val="000000" w:themeColor="text1"/>
          <w:kern w:val="2"/>
          <w:sz w:val="32"/>
          <w:szCs w:val="32"/>
          <w:highlight w:val="none"/>
          <w:lang w:val="en-US" w:eastAsia="zh-CN"/>
          <w14:textFill>
            <w14:solidFill>
              <w14:schemeClr w14:val="tx1"/>
            </w14:solidFill>
          </w14:textFill>
        </w:rPr>
        <w:t>163</w:t>
      </w:r>
      <w:r>
        <w:rPr>
          <w:rFonts w:hint="eastAsia" w:ascii="仿宋_GB2312" w:hAnsi="仿宋_GB2312" w:cs="仿宋_GB2312"/>
          <w:color w:val="000000" w:themeColor="text1"/>
          <w:kern w:val="2"/>
          <w:sz w:val="32"/>
          <w:szCs w:val="32"/>
          <w:highlight w:val="none"/>
          <w14:textFill>
            <w14:solidFill>
              <w14:schemeClr w14:val="tx1"/>
            </w14:solidFill>
          </w14:textFill>
        </w:rPr>
        <w:t>万元，实际到位</w:t>
      </w:r>
      <w:r>
        <w:rPr>
          <w:rFonts w:hint="eastAsia" w:ascii="仿宋_GB2312" w:hAnsi="仿宋_GB2312" w:cs="仿宋_GB2312"/>
          <w:color w:val="000000" w:themeColor="text1"/>
          <w:kern w:val="2"/>
          <w:sz w:val="32"/>
          <w:szCs w:val="32"/>
          <w:highlight w:val="none"/>
          <w:lang w:val="en-US" w:eastAsia="zh-CN"/>
          <w14:textFill>
            <w14:solidFill>
              <w14:schemeClr w14:val="tx1"/>
            </w14:solidFill>
          </w14:textFill>
        </w:rPr>
        <w:t>163</w:t>
      </w:r>
      <w:r>
        <w:rPr>
          <w:rFonts w:hint="eastAsia" w:ascii="仿宋_GB2312" w:hAnsi="仿宋_GB2312" w:cs="仿宋_GB2312"/>
          <w:color w:val="000000" w:themeColor="text1"/>
          <w:kern w:val="2"/>
          <w:sz w:val="32"/>
          <w:szCs w:val="32"/>
          <w:highlight w:val="none"/>
          <w14:textFill>
            <w14:solidFill>
              <w14:schemeClr w14:val="tx1"/>
            </w14:solidFill>
          </w14:textFill>
        </w:rPr>
        <w:t>万元，全年项目实际支出</w:t>
      </w:r>
      <w:r>
        <w:rPr>
          <w:rFonts w:hint="eastAsia" w:ascii="仿宋_GB2312" w:hAnsi="仿宋_GB2312" w:cs="仿宋_GB2312"/>
          <w:color w:val="000000" w:themeColor="text1"/>
          <w:kern w:val="2"/>
          <w:sz w:val="32"/>
          <w:szCs w:val="32"/>
          <w:highlight w:val="none"/>
          <w:lang w:val="en-US" w:eastAsia="zh-CN"/>
          <w14:textFill>
            <w14:solidFill>
              <w14:schemeClr w14:val="tx1"/>
            </w14:solidFill>
          </w14:textFill>
        </w:rPr>
        <w:t>163</w:t>
      </w:r>
      <w:r>
        <w:rPr>
          <w:rFonts w:hint="eastAsia" w:ascii="仿宋_GB2312" w:hAnsi="仿宋_GB2312" w:cs="仿宋_GB2312"/>
          <w:color w:val="000000" w:themeColor="text1"/>
          <w:kern w:val="2"/>
          <w:sz w:val="32"/>
          <w:szCs w:val="32"/>
          <w:highlight w:val="none"/>
          <w14:textFill>
            <w14:solidFill>
              <w14:schemeClr w14:val="tx1"/>
            </w14:solidFill>
          </w14:textFill>
        </w:rPr>
        <w:t>万</w:t>
      </w:r>
      <w:r>
        <w:rPr>
          <w:rFonts w:hint="eastAsia" w:ascii="仿宋_GB2312"/>
          <w:sz w:val="32"/>
          <w:szCs w:val="32"/>
          <w:highlight w:val="none"/>
        </w:rPr>
        <w:t>元，预算执行率100%。</w:t>
      </w:r>
    </w:p>
    <w:p>
      <w:pPr>
        <w:pStyle w:val="4"/>
        <w:pageBreakBefore w:val="0"/>
        <w:widowControl w:val="0"/>
        <w:numPr>
          <w:ilvl w:val="0"/>
          <w:numId w:val="0"/>
        </w:numPr>
        <w:kinsoku/>
        <w:wordWrap/>
        <w:topLinePunct w:val="0"/>
        <w:autoSpaceDE/>
        <w:autoSpaceDN/>
        <w:bidi w:val="0"/>
        <w:spacing w:after="0" w:afterAutospacing="0" w:line="560" w:lineRule="exact"/>
        <w:ind w:leftChars="200"/>
        <w:textAlignment w:val="auto"/>
        <w:rPr>
          <w:rFonts w:ascii="楷体_GB2312" w:eastAsia="楷体_GB2312"/>
          <w:szCs w:val="32"/>
          <w:highlight w:val="none"/>
        </w:rPr>
      </w:pPr>
      <w:r>
        <w:rPr>
          <w:rFonts w:hint="eastAsia" w:ascii="楷体_GB2312" w:eastAsia="楷体_GB2312"/>
          <w:szCs w:val="32"/>
          <w:highlight w:val="none"/>
          <w:lang w:eastAsia="zh-CN"/>
        </w:rPr>
        <w:t>（二）</w:t>
      </w:r>
      <w:r>
        <w:rPr>
          <w:rFonts w:hint="eastAsia" w:ascii="楷体_GB2312" w:eastAsia="楷体_GB2312"/>
          <w:szCs w:val="32"/>
          <w:highlight w:val="none"/>
        </w:rPr>
        <w:t>绩效指标偏差情况</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cs="仿宋_GB2312"/>
          <w:color w:val="000000" w:themeColor="text1"/>
          <w:sz w:val="32"/>
          <w:szCs w:val="32"/>
          <w:highlight w:val="none"/>
          <w14:textFill>
            <w14:solidFill>
              <w14:schemeClr w14:val="tx1"/>
            </w14:solidFill>
          </w14:textFill>
        </w:rPr>
        <w:t>年本单位负责实施的</w:t>
      </w:r>
      <w:bookmarkStart w:id="17" w:name="_Hlk162450845"/>
      <w:r>
        <w:rPr>
          <w:rFonts w:hint="eastAsia" w:ascii="仿宋_GB2312" w:hAnsi="仿宋_GB2312" w:cs="仿宋_GB2312"/>
          <w:color w:val="000000" w:themeColor="text1"/>
          <w:sz w:val="32"/>
          <w:szCs w:val="32"/>
          <w:highlight w:val="none"/>
          <w14:textFill>
            <w14:solidFill>
              <w14:schemeClr w14:val="tx1"/>
            </w14:solidFill>
          </w14:textFill>
        </w:rPr>
        <w:t>城乡义务教育补助经费中央直达（校舍安全保障资金）</w:t>
      </w:r>
      <w:bookmarkEnd w:id="17"/>
      <w:r>
        <w:rPr>
          <w:rFonts w:hint="eastAsia" w:ascii="仿宋_GB2312" w:hAnsi="仿宋_GB2312" w:cs="仿宋_GB2312"/>
          <w:color w:val="000000" w:themeColor="text1"/>
          <w:sz w:val="32"/>
          <w:szCs w:val="32"/>
          <w:highlight w:val="none"/>
          <w14:textFill>
            <w14:solidFill>
              <w14:schemeClr w14:val="tx1"/>
            </w14:solidFill>
          </w14:textFill>
        </w:rPr>
        <w:t>项目的绩效目标及指标已经全部达成，不存在偏差情况。</w:t>
      </w:r>
    </w:p>
    <w:bookmarkEnd w:id="15"/>
    <w:bookmarkEnd w:id="16"/>
    <w:p>
      <w:pPr>
        <w:pStyle w:val="3"/>
        <w:pageBreakBefore w:val="0"/>
        <w:widowControl w:val="0"/>
        <w:kinsoku/>
        <w:wordWrap/>
        <w:topLinePunct w:val="0"/>
        <w:autoSpaceDE/>
        <w:autoSpaceDN/>
        <w:bidi w:val="0"/>
        <w:spacing w:after="0" w:afterAutospacing="0" w:line="560" w:lineRule="exact"/>
        <w:ind w:left="0" w:leftChars="0" w:firstLine="640"/>
        <w:textAlignment w:val="auto"/>
        <w:rPr>
          <w:szCs w:val="32"/>
          <w:highlight w:val="none"/>
        </w:rPr>
      </w:pPr>
      <w:r>
        <w:rPr>
          <w:rFonts w:hint="eastAsia"/>
          <w:szCs w:val="32"/>
          <w:highlight w:val="none"/>
        </w:rPr>
        <w:t>六、主要经验及做法</w:t>
      </w:r>
      <w:r>
        <w:rPr>
          <w:szCs w:val="32"/>
          <w:highlight w:val="none"/>
        </w:rPr>
        <w:t>、</w:t>
      </w:r>
      <w:r>
        <w:rPr>
          <w:rFonts w:hint="eastAsia"/>
          <w:szCs w:val="32"/>
          <w:highlight w:val="none"/>
        </w:rPr>
        <w:t>存在的问题及原因分析</w:t>
      </w:r>
    </w:p>
    <w:p>
      <w:pPr>
        <w:pStyle w:val="23"/>
        <w:pageBreakBefore w:val="0"/>
        <w:widowControl w:val="0"/>
        <w:kinsoku/>
        <w:wordWrap/>
        <w:topLinePunct w:val="0"/>
        <w:autoSpaceDE/>
        <w:autoSpaceDN/>
        <w:bidi w:val="0"/>
        <w:spacing w:before="0" w:after="0" w:afterAutospacing="0" w:line="560" w:lineRule="exact"/>
        <w:ind w:left="0" w:leftChars="0" w:firstLine="643" w:firstLineChars="200"/>
        <w:textAlignment w:val="auto"/>
        <w:rPr>
          <w:rFonts w:ascii="仿宋_GB2312" w:hAnsi="仿宋_GB2312" w:cs="仿宋_GB2312"/>
          <w:sz w:val="32"/>
          <w:highlight w:val="none"/>
        </w:rPr>
      </w:pPr>
      <w:r>
        <w:rPr>
          <w:rFonts w:hint="eastAsia" w:ascii="仿宋_GB2312" w:hAnsi="仿宋_GB2312" w:cs="仿宋_GB2312"/>
          <w:sz w:val="32"/>
          <w:highlight w:val="none"/>
        </w:rPr>
        <w:t>（一）主要经验及做法</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1.加强项目实施管理。一是抓落实。要求将任务落实到具体项目，明确责任主体。二是抓督查。经常到实地督查进度，并采取开展调研、中期评估等有效管理措施，促进各项目顺利实施。</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2.加强项目资金管理。做到手续完备、专账管理、专人负责、专户存储、账目清楚。</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b/>
          <w:bCs/>
          <w:color w:val="FF0000"/>
          <w:sz w:val="32"/>
          <w:szCs w:val="32"/>
          <w:highlight w:val="none"/>
        </w:rPr>
      </w:pPr>
      <w:r>
        <w:rPr>
          <w:rFonts w:hint="eastAsia" w:ascii="仿宋_GB2312" w:hAnsi="仿宋_GB2312" w:cs="仿宋_GB2312"/>
          <w:color w:val="000000" w:themeColor="text1"/>
          <w:sz w:val="32"/>
          <w:szCs w:val="32"/>
          <w:highlight w:val="none"/>
          <w14:textFill>
            <w14:solidFill>
              <w14:schemeClr w14:val="tx1"/>
            </w14:solidFill>
          </w14:textFill>
        </w:rPr>
        <w:t>3.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pageBreakBefore w:val="0"/>
        <w:widowControl w:val="0"/>
        <w:kinsoku/>
        <w:wordWrap/>
        <w:topLinePunct w:val="0"/>
        <w:autoSpaceDE/>
        <w:autoSpaceDN/>
        <w:bidi w:val="0"/>
        <w:spacing w:before="0" w:after="0" w:afterAutospacing="0" w:line="560" w:lineRule="exact"/>
        <w:ind w:left="0" w:leftChars="0" w:firstLine="643" w:firstLineChars="200"/>
        <w:textAlignment w:val="auto"/>
        <w:rPr>
          <w:rFonts w:ascii="仿宋_GB2312" w:hAnsi="仿宋_GB2312" w:cs="仿宋_GB2312"/>
          <w:sz w:val="32"/>
          <w:highlight w:val="none"/>
        </w:rPr>
      </w:pPr>
      <w:bookmarkStart w:id="18" w:name="_Toc68364674"/>
      <w:r>
        <w:rPr>
          <w:rFonts w:hint="eastAsia" w:ascii="仿宋_GB2312" w:hAnsi="仿宋_GB2312" w:cs="仿宋_GB2312"/>
          <w:sz w:val="32"/>
          <w:highlight w:val="none"/>
        </w:rPr>
        <w:t>（二）存在问题及原因分析</w:t>
      </w:r>
      <w:bookmarkEnd w:id="18"/>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1</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本单位的项目领导小组，对该项目的事前、事中、事后进行监督与跟踪，但在项目实施过程中仍存在不全面的地方，对项目的部分细节有所疏忽。</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2.对项目档案管理有待进一步规范。项目档案管理专业性较弱。</w:t>
      </w:r>
    </w:p>
    <w:p>
      <w:pPr>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14:textFill>
            <w14:solidFill>
              <w14:schemeClr w14:val="tx1"/>
            </w14:solidFill>
          </w14:textFill>
        </w:rPr>
        <w:t>3.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pageBreakBefore w:val="0"/>
        <w:widowControl w:val="0"/>
        <w:kinsoku/>
        <w:wordWrap/>
        <w:topLinePunct w:val="0"/>
        <w:autoSpaceDE/>
        <w:autoSpaceDN/>
        <w:bidi w:val="0"/>
        <w:spacing w:after="0" w:afterAutospacing="0" w:line="560" w:lineRule="exact"/>
        <w:ind w:left="0" w:leftChars="0" w:firstLine="640"/>
        <w:textAlignment w:val="auto"/>
        <w:rPr>
          <w:szCs w:val="32"/>
          <w:highlight w:val="none"/>
        </w:rPr>
      </w:pPr>
      <w:r>
        <w:rPr>
          <w:rFonts w:hint="eastAsia"/>
          <w:szCs w:val="32"/>
          <w:highlight w:val="none"/>
        </w:rPr>
        <w:t>七、有关建议</w:t>
      </w:r>
    </w:p>
    <w:p>
      <w:pPr>
        <w:pStyle w:val="21"/>
        <w:pageBreakBefore w:val="0"/>
        <w:widowControl w:val="0"/>
        <w:kinsoku/>
        <w:wordWrap/>
        <w:topLinePunct w:val="0"/>
        <w:autoSpaceDE/>
        <w:autoSpaceDN/>
        <w:bidi w:val="0"/>
        <w:spacing w:after="0" w:afterAutospacing="0" w:line="560" w:lineRule="exact"/>
        <w:ind w:left="0" w:leftChars="0" w:firstLine="643"/>
        <w:textAlignment w:val="auto"/>
        <w:rPr>
          <w:rFonts w:ascii="仿宋_GB2312"/>
          <w:b/>
          <w:bCs/>
          <w:sz w:val="32"/>
          <w:szCs w:val="32"/>
          <w:highlight w:val="none"/>
        </w:rPr>
      </w:pPr>
      <w:r>
        <w:rPr>
          <w:rFonts w:hint="eastAsia" w:ascii="仿宋_GB2312"/>
          <w:b/>
          <w:bCs/>
          <w:sz w:val="32"/>
          <w:szCs w:val="32"/>
          <w:highlight w:val="none"/>
        </w:rPr>
        <w:t>1.加强培训，提高相关人员工作水平</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sz w:val="32"/>
          <w:szCs w:val="32"/>
          <w:highlight w:val="none"/>
        </w:rPr>
      </w:pPr>
      <w:r>
        <w:rPr>
          <w:rFonts w:hint="eastAsia"/>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pPr>
        <w:pStyle w:val="21"/>
        <w:pageBreakBefore w:val="0"/>
        <w:widowControl w:val="0"/>
        <w:kinsoku/>
        <w:wordWrap/>
        <w:topLinePunct w:val="0"/>
        <w:autoSpaceDE/>
        <w:autoSpaceDN/>
        <w:bidi w:val="0"/>
        <w:spacing w:after="0" w:afterAutospacing="0" w:line="560" w:lineRule="exact"/>
        <w:ind w:left="0" w:leftChars="0" w:firstLine="643"/>
        <w:textAlignment w:val="auto"/>
        <w:rPr>
          <w:rFonts w:ascii="仿宋_GB2312"/>
          <w:b/>
          <w:bCs/>
          <w:sz w:val="32"/>
          <w:szCs w:val="32"/>
          <w:highlight w:val="none"/>
        </w:rPr>
      </w:pPr>
      <w:r>
        <w:rPr>
          <w:rFonts w:hint="eastAsia" w:ascii="仿宋_GB2312"/>
          <w:b/>
          <w:bCs/>
          <w:sz w:val="32"/>
          <w:szCs w:val="32"/>
          <w:highlight w:val="none"/>
        </w:rPr>
        <w:t>2.扎实推进档案规范化建设，提升档案管理水平</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highlight w:val="none"/>
        </w:rPr>
      </w:pPr>
      <w:r>
        <w:rPr>
          <w:rFonts w:hint="eastAsia" w:ascii="仿宋_GB2312" w:hAnsi="仿宋_GB2312" w:cs="仿宋_GB2312"/>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pageBreakBefore w:val="0"/>
        <w:widowControl w:val="0"/>
        <w:kinsoku/>
        <w:wordWrap/>
        <w:topLinePunct w:val="0"/>
        <w:autoSpaceDE/>
        <w:autoSpaceDN/>
        <w:bidi w:val="0"/>
        <w:spacing w:after="0" w:afterAutospacing="0" w:line="560" w:lineRule="exact"/>
        <w:ind w:left="0" w:leftChars="0" w:firstLine="643"/>
        <w:textAlignment w:val="auto"/>
        <w:rPr>
          <w:rFonts w:ascii="仿宋_GB2312"/>
          <w:b/>
          <w:bCs/>
          <w:sz w:val="32"/>
          <w:szCs w:val="32"/>
          <w:highlight w:val="none"/>
        </w:rPr>
      </w:pPr>
      <w:r>
        <w:rPr>
          <w:rFonts w:hint="eastAsia" w:ascii="仿宋_GB2312"/>
          <w:b/>
          <w:bCs/>
          <w:sz w:val="32"/>
          <w:szCs w:val="32"/>
          <w:highlight w:val="none"/>
        </w:rPr>
        <w:t>3.高度重视，加强领导</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hAnsi="仿宋_GB2312" w:cs="仿宋_GB2312"/>
          <w:sz w:val="32"/>
          <w:szCs w:val="32"/>
          <w:highlight w:val="none"/>
        </w:rPr>
      </w:pPr>
      <w:r>
        <w:rPr>
          <w:rFonts w:hint="eastAsia" w:ascii="仿宋_GB2312"/>
          <w:sz w:val="32"/>
          <w:szCs w:val="32"/>
          <w:highlight w:val="none"/>
        </w:rPr>
        <w:t>高度重视，加强领导，精心组织。项目绩效领导</w:t>
      </w:r>
      <w:r>
        <w:rPr>
          <w:rFonts w:hint="eastAsia" w:ascii="仿宋_GB2312"/>
          <w:sz w:val="32"/>
          <w:szCs w:val="32"/>
          <w:highlight w:val="none"/>
          <w:lang w:val="en-US" w:eastAsia="zh-CN"/>
        </w:rPr>
        <w:t>评价</w:t>
      </w:r>
      <w:r>
        <w:rPr>
          <w:rFonts w:hint="eastAsia" w:ascii="仿宋_GB2312"/>
          <w:sz w:val="32"/>
          <w:szCs w:val="32"/>
          <w:highlight w:val="none"/>
        </w:rPr>
        <w:t>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highlight w:val="none"/>
        </w:rPr>
        <w:t>客观性和公正性。</w:t>
      </w:r>
    </w:p>
    <w:p>
      <w:pPr>
        <w:pStyle w:val="21"/>
        <w:pageBreakBefore w:val="0"/>
        <w:widowControl w:val="0"/>
        <w:kinsoku/>
        <w:wordWrap/>
        <w:topLinePunct w:val="0"/>
        <w:autoSpaceDE/>
        <w:autoSpaceDN/>
        <w:bidi w:val="0"/>
        <w:spacing w:after="0" w:afterAutospacing="0" w:line="560" w:lineRule="exact"/>
        <w:ind w:left="0" w:leftChars="0" w:firstLine="643"/>
        <w:textAlignment w:val="auto"/>
        <w:rPr>
          <w:rFonts w:ascii="仿宋_GB2312"/>
          <w:b/>
          <w:bCs/>
          <w:sz w:val="32"/>
          <w:szCs w:val="32"/>
          <w:highlight w:val="none"/>
        </w:rPr>
      </w:pPr>
      <w:r>
        <w:rPr>
          <w:rFonts w:hint="eastAsia" w:ascii="仿宋_GB2312"/>
          <w:b/>
          <w:bCs/>
          <w:sz w:val="32"/>
          <w:szCs w:val="32"/>
          <w:highlight w:val="none"/>
        </w:rPr>
        <w:t>4.</w:t>
      </w:r>
      <w:r>
        <w:rPr>
          <w:rFonts w:ascii="仿宋_GB2312"/>
          <w:b/>
          <w:bCs/>
          <w:sz w:val="32"/>
          <w:szCs w:val="32"/>
          <w:highlight w:val="none"/>
        </w:rPr>
        <w:t>加大宣传力度，强化绩效理念</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sz w:val="32"/>
          <w:szCs w:val="32"/>
          <w:highlight w:val="none"/>
        </w:rPr>
      </w:pPr>
      <w:r>
        <w:rPr>
          <w:rFonts w:ascii="仿宋_GB2312"/>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pageBreakBefore w:val="0"/>
        <w:widowControl w:val="0"/>
        <w:numPr>
          <w:ilvl w:val="0"/>
          <w:numId w:val="0"/>
        </w:numPr>
        <w:kinsoku/>
        <w:wordWrap/>
        <w:topLinePunct w:val="0"/>
        <w:autoSpaceDE/>
        <w:autoSpaceDN/>
        <w:bidi w:val="0"/>
        <w:spacing w:after="0" w:afterAutospacing="0" w:line="560" w:lineRule="exact"/>
        <w:ind w:leftChars="200"/>
        <w:textAlignment w:val="auto"/>
        <w:rPr>
          <w:rFonts w:ascii="仿宋_GB2312"/>
          <w:b/>
          <w:bCs/>
          <w:sz w:val="32"/>
          <w:szCs w:val="32"/>
          <w:highlight w:val="none"/>
        </w:rPr>
      </w:pPr>
      <w:r>
        <w:rPr>
          <w:rFonts w:hint="eastAsia" w:ascii="仿宋_GB2312"/>
          <w:b/>
          <w:bCs/>
          <w:sz w:val="32"/>
          <w:szCs w:val="32"/>
          <w:highlight w:val="none"/>
          <w:lang w:val="en-US" w:eastAsia="zh-CN"/>
        </w:rPr>
        <w:t>5.</w:t>
      </w:r>
      <w:r>
        <w:rPr>
          <w:rFonts w:ascii="仿宋_GB2312"/>
          <w:b/>
          <w:bCs/>
          <w:sz w:val="32"/>
          <w:szCs w:val="32"/>
          <w:highlight w:val="none"/>
        </w:rPr>
        <w:t>加强业务培训，提升专业能力</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sz w:val="32"/>
          <w:szCs w:val="32"/>
          <w:highlight w:val="none"/>
        </w:rPr>
      </w:pPr>
      <w:r>
        <w:rPr>
          <w:rFonts w:ascii="仿宋_GB2312"/>
          <w:sz w:val="32"/>
          <w:szCs w:val="32"/>
          <w:highlight w:val="none"/>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pageBreakBefore w:val="0"/>
        <w:widowControl w:val="0"/>
        <w:numPr>
          <w:ilvl w:val="0"/>
          <w:numId w:val="0"/>
        </w:numPr>
        <w:kinsoku/>
        <w:wordWrap/>
        <w:topLinePunct w:val="0"/>
        <w:autoSpaceDE/>
        <w:autoSpaceDN/>
        <w:bidi w:val="0"/>
        <w:spacing w:after="0" w:afterAutospacing="0" w:line="560" w:lineRule="exact"/>
        <w:ind w:leftChars="200"/>
        <w:textAlignment w:val="auto"/>
        <w:rPr>
          <w:rFonts w:ascii="仿宋_GB2312"/>
          <w:b/>
          <w:bCs/>
          <w:sz w:val="32"/>
          <w:szCs w:val="32"/>
          <w:highlight w:val="none"/>
        </w:rPr>
      </w:pPr>
      <w:r>
        <w:rPr>
          <w:rFonts w:hint="eastAsia" w:ascii="仿宋_GB2312"/>
          <w:b/>
          <w:bCs/>
          <w:sz w:val="32"/>
          <w:szCs w:val="32"/>
          <w:highlight w:val="none"/>
          <w:lang w:val="en-US" w:eastAsia="zh-CN"/>
        </w:rPr>
        <w:t>6.</w:t>
      </w:r>
      <w:r>
        <w:rPr>
          <w:rFonts w:ascii="仿宋_GB2312"/>
          <w:b/>
          <w:bCs/>
          <w:sz w:val="32"/>
          <w:szCs w:val="32"/>
          <w:highlight w:val="none"/>
        </w:rPr>
        <w:t>健全管理机制，促进深度融合</w:t>
      </w:r>
    </w:p>
    <w:p>
      <w:pPr>
        <w:pStyle w:val="21"/>
        <w:pageBreakBefore w:val="0"/>
        <w:widowControl w:val="0"/>
        <w:kinsoku/>
        <w:wordWrap/>
        <w:topLinePunct w:val="0"/>
        <w:autoSpaceDE/>
        <w:autoSpaceDN/>
        <w:bidi w:val="0"/>
        <w:spacing w:after="0" w:afterAutospacing="0" w:line="560" w:lineRule="exact"/>
        <w:ind w:left="0" w:leftChars="0" w:firstLine="640"/>
        <w:textAlignment w:val="auto"/>
        <w:rPr>
          <w:rFonts w:ascii="仿宋_GB2312"/>
          <w:sz w:val="32"/>
          <w:szCs w:val="32"/>
          <w:highlight w:val="none"/>
        </w:rPr>
      </w:pPr>
      <w:r>
        <w:rPr>
          <w:rFonts w:ascii="仿宋_GB2312"/>
          <w:sz w:val="32"/>
          <w:szCs w:val="32"/>
          <w:highlight w:val="none"/>
        </w:rPr>
        <w:t>目前县级财政部门的预算股、资金管理股</w:t>
      </w:r>
      <w:bookmarkStart w:id="19" w:name="_GoBack"/>
      <w:bookmarkEnd w:id="19"/>
      <w:r>
        <w:rPr>
          <w:rFonts w:ascii="仿宋_GB2312"/>
          <w:sz w:val="32"/>
          <w:szCs w:val="32"/>
          <w:highlight w:val="none"/>
        </w:rPr>
        <w:t>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pageBreakBefore w:val="0"/>
        <w:widowControl w:val="0"/>
        <w:kinsoku/>
        <w:wordWrap/>
        <w:topLinePunct w:val="0"/>
        <w:autoSpaceDE/>
        <w:autoSpaceDN/>
        <w:bidi w:val="0"/>
        <w:spacing w:after="0" w:afterAutospacing="0" w:line="560" w:lineRule="exact"/>
        <w:ind w:left="0" w:leftChars="0" w:firstLine="640"/>
        <w:textAlignment w:val="auto"/>
        <w:rPr>
          <w:szCs w:val="32"/>
          <w:highlight w:val="none"/>
        </w:rPr>
      </w:pPr>
      <w:r>
        <w:rPr>
          <w:rFonts w:hint="eastAsia"/>
          <w:szCs w:val="32"/>
          <w:highlight w:val="none"/>
        </w:rPr>
        <w:t>八、其他需要说明的问题</w:t>
      </w:r>
    </w:p>
    <w:p>
      <w:pPr>
        <w:pStyle w:val="21"/>
        <w:pageBreakBefore w:val="0"/>
        <w:widowControl w:val="0"/>
        <w:kinsoku/>
        <w:wordWrap/>
        <w:topLinePunct w:val="0"/>
        <w:autoSpaceDE/>
        <w:autoSpaceDN/>
        <w:bidi w:val="0"/>
        <w:spacing w:after="0" w:afterAutospacing="0" w:line="560" w:lineRule="exact"/>
        <w:ind w:left="0" w:leftChars="0" w:firstLine="624"/>
        <w:textAlignment w:val="auto"/>
        <w:rPr>
          <w:rFonts w:ascii="仿宋_GB2312"/>
          <w:sz w:val="32"/>
          <w:szCs w:val="32"/>
          <w:highlight w:val="none"/>
        </w:rPr>
      </w:pPr>
      <w:r>
        <w:rPr>
          <w:rFonts w:hint="eastAsia"/>
          <w:spacing w:val="-4"/>
          <w:sz w:val="32"/>
          <w:szCs w:val="32"/>
          <w:highlight w:val="none"/>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小标宋_GBK">
    <w:altName w:val="微软雅黑"/>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a:effectLst/>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rUlM/TAAAAAwEAAA8AAAAAAAAAAQAgAAAAIgAAAGRycy9kb3ducmV2LnhtbFBLAQIUABQAAAAI&#10;AIdO4kBv0HoouQEAAFQDAAAOAAAAAAAAAAEAIAAAACIBAABkcnMvZTJvRG9jLnhtbFBLBQYAAAAA&#10;BgAGAFkBAABN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val="1"/>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yNDJlOWYyZWE5ODhkOWU5MmIwNDI3NjIxYzI4YzEifQ=="/>
  </w:docVars>
  <w:rsids>
    <w:rsidRoot w:val="68291A1A"/>
    <w:rsid w:val="00004DD3"/>
    <w:rsid w:val="000235A3"/>
    <w:rsid w:val="000545A8"/>
    <w:rsid w:val="00074518"/>
    <w:rsid w:val="001472A5"/>
    <w:rsid w:val="0015505A"/>
    <w:rsid w:val="001623FF"/>
    <w:rsid w:val="00166E74"/>
    <w:rsid w:val="00175A91"/>
    <w:rsid w:val="00192D10"/>
    <w:rsid w:val="001A4AC3"/>
    <w:rsid w:val="001B5602"/>
    <w:rsid w:val="001E2EBD"/>
    <w:rsid w:val="00210D91"/>
    <w:rsid w:val="0021146D"/>
    <w:rsid w:val="00223032"/>
    <w:rsid w:val="00247EE2"/>
    <w:rsid w:val="002A0995"/>
    <w:rsid w:val="002C7B03"/>
    <w:rsid w:val="002C7DD3"/>
    <w:rsid w:val="00317926"/>
    <w:rsid w:val="00361F7C"/>
    <w:rsid w:val="00386C5B"/>
    <w:rsid w:val="003E4703"/>
    <w:rsid w:val="003E5633"/>
    <w:rsid w:val="003F37F5"/>
    <w:rsid w:val="004171F4"/>
    <w:rsid w:val="0043100D"/>
    <w:rsid w:val="0044675F"/>
    <w:rsid w:val="004601B7"/>
    <w:rsid w:val="00492D5E"/>
    <w:rsid w:val="004A2B0D"/>
    <w:rsid w:val="004B4870"/>
    <w:rsid w:val="005214C9"/>
    <w:rsid w:val="00527AEB"/>
    <w:rsid w:val="00531650"/>
    <w:rsid w:val="00534E53"/>
    <w:rsid w:val="00566FB6"/>
    <w:rsid w:val="005A0D91"/>
    <w:rsid w:val="005A5739"/>
    <w:rsid w:val="006270E6"/>
    <w:rsid w:val="00665084"/>
    <w:rsid w:val="00672706"/>
    <w:rsid w:val="00692B17"/>
    <w:rsid w:val="006B1BC0"/>
    <w:rsid w:val="006E0EA2"/>
    <w:rsid w:val="00776F73"/>
    <w:rsid w:val="00780DC1"/>
    <w:rsid w:val="007E058B"/>
    <w:rsid w:val="007E7875"/>
    <w:rsid w:val="007F45BB"/>
    <w:rsid w:val="00884D37"/>
    <w:rsid w:val="00896D4D"/>
    <w:rsid w:val="008C044E"/>
    <w:rsid w:val="008C7E1E"/>
    <w:rsid w:val="00931BEF"/>
    <w:rsid w:val="0094358A"/>
    <w:rsid w:val="0094745E"/>
    <w:rsid w:val="00975BC3"/>
    <w:rsid w:val="009762A0"/>
    <w:rsid w:val="009A0F06"/>
    <w:rsid w:val="009B1503"/>
    <w:rsid w:val="009B3A45"/>
    <w:rsid w:val="00A12D83"/>
    <w:rsid w:val="00A51CD9"/>
    <w:rsid w:val="00AB718B"/>
    <w:rsid w:val="00AC023D"/>
    <w:rsid w:val="00AC6871"/>
    <w:rsid w:val="00B2498B"/>
    <w:rsid w:val="00B8629A"/>
    <w:rsid w:val="00BB40B9"/>
    <w:rsid w:val="00BB45C5"/>
    <w:rsid w:val="00BE687E"/>
    <w:rsid w:val="00C34ECE"/>
    <w:rsid w:val="00C5160D"/>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EB2A56"/>
    <w:rsid w:val="00F010D3"/>
    <w:rsid w:val="00F25858"/>
    <w:rsid w:val="00F26424"/>
    <w:rsid w:val="00F47F96"/>
    <w:rsid w:val="00F61390"/>
    <w:rsid w:val="00FA49B8"/>
    <w:rsid w:val="00FB24DF"/>
    <w:rsid w:val="00FB2CA4"/>
    <w:rsid w:val="00FC5DC5"/>
    <w:rsid w:val="059E4F1E"/>
    <w:rsid w:val="06816F15"/>
    <w:rsid w:val="06B541A3"/>
    <w:rsid w:val="07A315A4"/>
    <w:rsid w:val="0D51729D"/>
    <w:rsid w:val="0DF275F1"/>
    <w:rsid w:val="12F1313F"/>
    <w:rsid w:val="17FA6EAF"/>
    <w:rsid w:val="182D2C76"/>
    <w:rsid w:val="1A747610"/>
    <w:rsid w:val="1AF034C2"/>
    <w:rsid w:val="1BA22183"/>
    <w:rsid w:val="1E890F8D"/>
    <w:rsid w:val="1E940728"/>
    <w:rsid w:val="1F6219C8"/>
    <w:rsid w:val="245E1E24"/>
    <w:rsid w:val="25DE404E"/>
    <w:rsid w:val="2A433217"/>
    <w:rsid w:val="2CCF6B1C"/>
    <w:rsid w:val="2CE527F9"/>
    <w:rsid w:val="2D231B02"/>
    <w:rsid w:val="2D2E16EA"/>
    <w:rsid w:val="2DB92618"/>
    <w:rsid w:val="2E483E7E"/>
    <w:rsid w:val="2FF22A22"/>
    <w:rsid w:val="31AE5159"/>
    <w:rsid w:val="33944516"/>
    <w:rsid w:val="33EB59C6"/>
    <w:rsid w:val="33EB61B0"/>
    <w:rsid w:val="34A36056"/>
    <w:rsid w:val="397B58EC"/>
    <w:rsid w:val="3B4E2412"/>
    <w:rsid w:val="3C3C71E7"/>
    <w:rsid w:val="3C7139DE"/>
    <w:rsid w:val="3C97584D"/>
    <w:rsid w:val="3D49539C"/>
    <w:rsid w:val="3E2D1506"/>
    <w:rsid w:val="3F9B4998"/>
    <w:rsid w:val="44CB568D"/>
    <w:rsid w:val="46453981"/>
    <w:rsid w:val="46747695"/>
    <w:rsid w:val="46AF1186"/>
    <w:rsid w:val="49A75425"/>
    <w:rsid w:val="49A95790"/>
    <w:rsid w:val="4C7F6DC7"/>
    <w:rsid w:val="4F86576A"/>
    <w:rsid w:val="52AB1816"/>
    <w:rsid w:val="52DA1C4B"/>
    <w:rsid w:val="53386F92"/>
    <w:rsid w:val="548615FF"/>
    <w:rsid w:val="572C1045"/>
    <w:rsid w:val="57413A4B"/>
    <w:rsid w:val="57C400A4"/>
    <w:rsid w:val="586E6522"/>
    <w:rsid w:val="59214796"/>
    <w:rsid w:val="5A3E2A16"/>
    <w:rsid w:val="5B815E7E"/>
    <w:rsid w:val="5BEF797A"/>
    <w:rsid w:val="5C3D3C80"/>
    <w:rsid w:val="5D7317A1"/>
    <w:rsid w:val="5E2F27F0"/>
    <w:rsid w:val="5EDF9208"/>
    <w:rsid w:val="5F20415A"/>
    <w:rsid w:val="5FAFB075"/>
    <w:rsid w:val="6068307B"/>
    <w:rsid w:val="642920F0"/>
    <w:rsid w:val="64BE2C06"/>
    <w:rsid w:val="67824F7D"/>
    <w:rsid w:val="67870D34"/>
    <w:rsid w:val="68291A1A"/>
    <w:rsid w:val="68A76A4D"/>
    <w:rsid w:val="691B1594"/>
    <w:rsid w:val="695E08BE"/>
    <w:rsid w:val="6A277293"/>
    <w:rsid w:val="6BFE63BC"/>
    <w:rsid w:val="6C6A67D5"/>
    <w:rsid w:val="6E451DCF"/>
    <w:rsid w:val="6F0D6C22"/>
    <w:rsid w:val="6FD35114"/>
    <w:rsid w:val="6FE70C15"/>
    <w:rsid w:val="6FF38B9B"/>
    <w:rsid w:val="73D9A77D"/>
    <w:rsid w:val="73E7317A"/>
    <w:rsid w:val="73F90A54"/>
    <w:rsid w:val="7490433F"/>
    <w:rsid w:val="75150227"/>
    <w:rsid w:val="7657F55C"/>
    <w:rsid w:val="76D2301A"/>
    <w:rsid w:val="77861774"/>
    <w:rsid w:val="77978BBA"/>
    <w:rsid w:val="77F374B5"/>
    <w:rsid w:val="77FD56A3"/>
    <w:rsid w:val="786D3A99"/>
    <w:rsid w:val="78A74BFC"/>
    <w:rsid w:val="78BF1EB9"/>
    <w:rsid w:val="79300B45"/>
    <w:rsid w:val="79503C4A"/>
    <w:rsid w:val="7A681C78"/>
    <w:rsid w:val="7AFFA044"/>
    <w:rsid w:val="7B59395C"/>
    <w:rsid w:val="7B785A20"/>
    <w:rsid w:val="7BC64E15"/>
    <w:rsid w:val="7C55A6FE"/>
    <w:rsid w:val="7C7F22A6"/>
    <w:rsid w:val="7CA40F15"/>
    <w:rsid w:val="7CF2774D"/>
    <w:rsid w:val="7CF70B08"/>
    <w:rsid w:val="7EF2712F"/>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0"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8293</Words>
  <Characters>444</Characters>
  <Lines>3</Lines>
  <Paragraphs>17</Paragraphs>
  <TotalTime>102</TotalTime>
  <ScaleCrop>false</ScaleCrop>
  <LinksUpToDate>false</LinksUpToDate>
  <CharactersWithSpaces>8720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常 鑫</cp:lastModifiedBy>
  <cp:lastPrinted>2021-03-04T11:49:00Z</cp:lastPrinted>
  <dcterms:modified xsi:type="dcterms:W3CDTF">2024-11-08T12:48:26Z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7E8FDD045A2E47508970878F8479C733_13</vt:lpwstr>
  </property>
</Properties>
</file>